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92E9C" w14:textId="77777777" w:rsidR="00F036AB" w:rsidRPr="00B910B3" w:rsidRDefault="00F036AB" w:rsidP="00E85E51">
      <w:pPr>
        <w:pStyle w:val="Tytu"/>
        <w:spacing w:line="276" w:lineRule="auto"/>
      </w:pPr>
      <w:r w:rsidRPr="00B910B3">
        <w:t>Lista sprawdzająca projektu zgłoszonego do dofinansowania w ramach programu Fundusze Europejskie na Infrastrukturę, Klimat, Środowisko 2021-2027</w:t>
      </w:r>
    </w:p>
    <w:p w14:paraId="56FDDD7A" w14:textId="77777777" w:rsidR="00F036AB" w:rsidRPr="00B910B3" w:rsidRDefault="00F036AB" w:rsidP="00E85E51">
      <w:pPr>
        <w:pStyle w:val="Nagwek1"/>
        <w:spacing w:before="0" w:after="0" w:line="276" w:lineRule="auto"/>
      </w:pPr>
      <w:r w:rsidRPr="00B910B3">
        <w:t>Ocena rankingująca</w:t>
      </w:r>
    </w:p>
    <w:p w14:paraId="6426841C" w14:textId="77777777" w:rsidR="00F036AB" w:rsidRPr="00B910B3" w:rsidRDefault="00F036AB" w:rsidP="009E55C2">
      <w:pPr>
        <w:pStyle w:val="Styl1"/>
        <w:spacing w:before="0" w:after="0"/>
        <w:ind w:left="714" w:hanging="357"/>
      </w:pPr>
      <w:r w:rsidRPr="008D6C06">
        <w:t>Ocena</w:t>
      </w:r>
      <w:r w:rsidRPr="00B910B3">
        <w:t xml:space="preserve"> w oparciu o kryteria rankingujące w obszarze podstawowym</w:t>
      </w:r>
    </w:p>
    <w:p w14:paraId="34A70A80" w14:textId="77777777" w:rsidR="00F036AB" w:rsidRPr="00B910B3" w:rsidRDefault="00F036AB" w:rsidP="009E55C2">
      <w:pPr>
        <w:tabs>
          <w:tab w:val="num" w:pos="567"/>
        </w:tabs>
        <w:spacing w:before="120"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Priorytet: PRIORYTET I: Wsparcie sektorów energetyka i środowisko z Funduszu Spójności</w:t>
      </w:r>
    </w:p>
    <w:p w14:paraId="074AB2A9" w14:textId="77777777" w:rsidR="00F036AB" w:rsidRPr="00B910B3" w:rsidRDefault="00F036AB" w:rsidP="009E55C2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Działanie: Działanie FENX.01.03 Gospodarka wodno-ściekowa</w:t>
      </w:r>
    </w:p>
    <w:p w14:paraId="57B4AEEC" w14:textId="77777777" w:rsidR="00F036AB" w:rsidRPr="00B910B3" w:rsidRDefault="00F036AB" w:rsidP="009E55C2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Tryb naboru („</w:t>
      </w:r>
      <w:r w:rsidR="002B7126">
        <w:rPr>
          <w:rFonts w:ascii="Open Sans Light" w:hAnsi="Open Sans Light" w:cs="Calibri"/>
          <w:b/>
          <w:bCs/>
          <w:sz w:val="20"/>
          <w:szCs w:val="20"/>
        </w:rPr>
        <w:t>konkurencyjny</w:t>
      </w:r>
      <w:r w:rsidRPr="00B910B3">
        <w:rPr>
          <w:rFonts w:ascii="Open Sans Light" w:hAnsi="Open Sans Light" w:cs="Calibri"/>
          <w:b/>
          <w:bCs/>
          <w:sz w:val="20"/>
          <w:szCs w:val="20"/>
        </w:rPr>
        <w:t>” lub „</w:t>
      </w:r>
      <w:r w:rsidR="002B7126">
        <w:rPr>
          <w:rFonts w:ascii="Open Sans Light" w:hAnsi="Open Sans Light" w:cs="Calibri"/>
          <w:b/>
          <w:bCs/>
          <w:sz w:val="20"/>
          <w:szCs w:val="20"/>
        </w:rPr>
        <w:t>niekonkurencyjny</w:t>
      </w:r>
      <w:r w:rsidRPr="00B910B3">
        <w:rPr>
          <w:rFonts w:ascii="Open Sans Light" w:hAnsi="Open Sans Light" w:cs="Calibri"/>
          <w:b/>
          <w:bCs/>
          <w:sz w:val="20"/>
          <w:szCs w:val="20"/>
        </w:rPr>
        <w:t xml:space="preserve">”): </w:t>
      </w:r>
      <w:r w:rsidR="000B3F24">
        <w:rPr>
          <w:rFonts w:ascii="Open Sans Light" w:hAnsi="Open Sans Light" w:cs="Calibri"/>
          <w:b/>
          <w:bCs/>
          <w:sz w:val="20"/>
          <w:szCs w:val="20"/>
        </w:rPr>
        <w:t>………………………………………………………</w:t>
      </w:r>
    </w:p>
    <w:p w14:paraId="49A7700C" w14:textId="77777777" w:rsidR="00F036AB" w:rsidRPr="00B910B3" w:rsidRDefault="00F036AB" w:rsidP="009E55C2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 xml:space="preserve">Numer </w:t>
      </w:r>
      <w:r w:rsidR="000B3F24">
        <w:rPr>
          <w:rFonts w:ascii="Open Sans Light" w:hAnsi="Open Sans Light" w:cs="Calibri"/>
          <w:b/>
          <w:bCs/>
          <w:sz w:val="20"/>
          <w:szCs w:val="20"/>
        </w:rPr>
        <w:t>naboru: ……………………………………………………………</w:t>
      </w:r>
    </w:p>
    <w:p w14:paraId="37824DCF" w14:textId="77777777" w:rsidR="00F036AB" w:rsidRPr="00B910B3" w:rsidRDefault="00F036AB" w:rsidP="009E55C2">
      <w:pPr>
        <w:tabs>
          <w:tab w:val="num" w:pos="567"/>
        </w:tabs>
        <w:spacing w:before="240"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 xml:space="preserve">Tytuł projektu: </w:t>
      </w:r>
      <w:r w:rsidR="000B3F24">
        <w:rPr>
          <w:rFonts w:ascii="Open Sans Light" w:hAnsi="Open Sans Light" w:cs="Calibri"/>
          <w:b/>
          <w:bCs/>
          <w:sz w:val="20"/>
          <w:szCs w:val="20"/>
        </w:rPr>
        <w:t>……………………………………………………………</w:t>
      </w:r>
    </w:p>
    <w:p w14:paraId="1CEFC2B0" w14:textId="77777777" w:rsidR="00F036AB" w:rsidRPr="00B910B3" w:rsidRDefault="00F036AB" w:rsidP="009E55C2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 xml:space="preserve">Numer </w:t>
      </w:r>
      <w:r w:rsidR="000B3F24">
        <w:rPr>
          <w:rFonts w:ascii="Open Sans Light" w:hAnsi="Open Sans Light" w:cs="Calibri"/>
          <w:b/>
          <w:bCs/>
          <w:sz w:val="20"/>
          <w:szCs w:val="20"/>
        </w:rPr>
        <w:t>projektu: ………………………………………………………</w:t>
      </w:r>
    </w:p>
    <w:p w14:paraId="350C8E2A" w14:textId="77777777" w:rsidR="00F036AB" w:rsidRPr="00B910B3" w:rsidRDefault="000B3F24" w:rsidP="009E55C2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>
        <w:rPr>
          <w:rFonts w:ascii="Open Sans Light" w:hAnsi="Open Sans Light" w:cs="Calibri"/>
          <w:b/>
          <w:bCs/>
          <w:sz w:val="20"/>
          <w:szCs w:val="20"/>
        </w:rPr>
        <w:t>Beneficjent projektu: ………………………………………………</w:t>
      </w:r>
    </w:p>
    <w:p w14:paraId="3DB6ABE3" w14:textId="77777777" w:rsidR="00F036AB" w:rsidRPr="00B910B3" w:rsidRDefault="00F036AB" w:rsidP="009E55C2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Wnioskowa</w:t>
      </w:r>
      <w:r w:rsidR="000B3F24">
        <w:rPr>
          <w:rFonts w:ascii="Open Sans Light" w:hAnsi="Open Sans Light" w:cs="Calibri"/>
          <w:b/>
          <w:bCs/>
          <w:sz w:val="20"/>
          <w:szCs w:val="20"/>
        </w:rPr>
        <w:t>na kwota z FS: ………………………………………</w:t>
      </w:r>
    </w:p>
    <w:p w14:paraId="23ECFA02" w14:textId="77777777" w:rsidR="000B3F24" w:rsidRDefault="00F036AB" w:rsidP="009E55C2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bCs/>
          <w:sz w:val="20"/>
          <w:szCs w:val="20"/>
        </w:rPr>
      </w:pPr>
      <w:r w:rsidRPr="00B910B3">
        <w:rPr>
          <w:rFonts w:ascii="Open Sans Light" w:hAnsi="Open Sans Light" w:cs="Calibri"/>
          <w:b/>
          <w:bCs/>
          <w:sz w:val="20"/>
          <w:szCs w:val="20"/>
        </w:rPr>
        <w:t>Data wpłynięci</w:t>
      </w:r>
      <w:r w:rsidR="000B3F24">
        <w:rPr>
          <w:rFonts w:ascii="Open Sans Light" w:hAnsi="Open Sans Light" w:cs="Calibri"/>
          <w:b/>
          <w:bCs/>
          <w:sz w:val="20"/>
          <w:szCs w:val="20"/>
        </w:rPr>
        <w:t>a wniosku : ……………………………………………</w:t>
      </w:r>
    </w:p>
    <w:p w14:paraId="553FF0B2" w14:textId="77777777" w:rsidR="00F036AB" w:rsidRPr="00B910B3" w:rsidRDefault="00F036AB" w:rsidP="009E55C2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sz w:val="20"/>
          <w:szCs w:val="20"/>
        </w:rPr>
      </w:pPr>
      <w:r w:rsidRPr="00B910B3">
        <w:rPr>
          <w:rFonts w:ascii="Open Sans Light" w:hAnsi="Open Sans Light" w:cs="Calibri"/>
          <w:b/>
          <w:sz w:val="20"/>
          <w:szCs w:val="20"/>
        </w:rPr>
        <w:t>•</w:t>
      </w:r>
      <w:r w:rsidRPr="00B910B3">
        <w:rPr>
          <w:rFonts w:ascii="Open Sans Light" w:hAnsi="Open Sans Light" w:cs="Calibri"/>
          <w:b/>
          <w:sz w:val="20"/>
          <w:szCs w:val="20"/>
        </w:rPr>
        <w:tab/>
        <w:t xml:space="preserve">pierwszej </w:t>
      </w:r>
      <w:r w:rsidR="000B3F24">
        <w:rPr>
          <w:rFonts w:ascii="Open Sans Light" w:hAnsi="Open Sans Light" w:cs="Calibri"/>
          <w:b/>
          <w:sz w:val="20"/>
          <w:szCs w:val="20"/>
        </w:rPr>
        <w:t>wersji: …………………………………………………</w:t>
      </w:r>
    </w:p>
    <w:p w14:paraId="1101D1EE" w14:textId="77777777" w:rsidR="00F036AB" w:rsidRPr="00B910B3" w:rsidRDefault="00F036AB" w:rsidP="009E55C2">
      <w:pPr>
        <w:tabs>
          <w:tab w:val="num" w:pos="567"/>
        </w:tabs>
        <w:spacing w:line="276" w:lineRule="auto"/>
        <w:rPr>
          <w:rFonts w:ascii="Open Sans Light" w:hAnsi="Open Sans Light" w:cs="Calibri"/>
          <w:b/>
          <w:sz w:val="20"/>
          <w:szCs w:val="20"/>
        </w:rPr>
      </w:pPr>
      <w:r w:rsidRPr="00B910B3">
        <w:rPr>
          <w:rFonts w:ascii="Open Sans Light" w:hAnsi="Open Sans Light" w:cs="Calibri"/>
          <w:b/>
          <w:sz w:val="20"/>
          <w:szCs w:val="20"/>
        </w:rPr>
        <w:t>•</w:t>
      </w:r>
      <w:r w:rsidRPr="00B910B3">
        <w:rPr>
          <w:rFonts w:ascii="Open Sans Light" w:hAnsi="Open Sans Light" w:cs="Calibri"/>
          <w:b/>
          <w:sz w:val="20"/>
          <w:szCs w:val="20"/>
        </w:rPr>
        <w:tab/>
        <w:t>po pierwszym u</w:t>
      </w:r>
      <w:r w:rsidR="000B3F24">
        <w:rPr>
          <w:rFonts w:ascii="Open Sans Light" w:hAnsi="Open Sans Light" w:cs="Calibri"/>
          <w:b/>
          <w:sz w:val="20"/>
          <w:szCs w:val="20"/>
        </w:rPr>
        <w:t>zupełnieniu: ………………………………</w:t>
      </w:r>
    </w:p>
    <w:p w14:paraId="0DDF5535" w14:textId="77777777" w:rsidR="00F036AB" w:rsidRPr="008D6C06" w:rsidRDefault="00F036AB" w:rsidP="00E85E51">
      <w:pPr>
        <w:spacing w:line="276" w:lineRule="auto"/>
        <w:rPr>
          <w:rFonts w:ascii="Open Sans Light" w:hAnsi="Open Sans Light" w:cs="Open Sans Light"/>
          <w:b/>
          <w:bCs/>
          <w:sz w:val="20"/>
          <w:szCs w:val="20"/>
        </w:rPr>
      </w:pPr>
      <w:r w:rsidRPr="008D6C06">
        <w:rPr>
          <w:rFonts w:ascii="Open Sans Light" w:hAnsi="Open Sans Light" w:cs="Open Sans Light"/>
          <w:b/>
          <w:bCs/>
          <w:sz w:val="20"/>
          <w:szCs w:val="20"/>
        </w:rPr>
        <w:t>•</w:t>
      </w:r>
      <w:r w:rsidR="008D6C06">
        <w:rPr>
          <w:rFonts w:ascii="Open Sans Light" w:hAnsi="Open Sans Light" w:cs="Open Sans Light"/>
          <w:b/>
          <w:bCs/>
          <w:sz w:val="20"/>
          <w:szCs w:val="20"/>
        </w:rPr>
        <w:tab/>
      </w:r>
      <w:r w:rsidRPr="008D6C06">
        <w:rPr>
          <w:rFonts w:ascii="Open Sans Light" w:hAnsi="Open Sans Light" w:cs="Open Sans Light"/>
          <w:b/>
          <w:bCs/>
          <w:sz w:val="20"/>
          <w:szCs w:val="20"/>
        </w:rPr>
        <w:t>po drugim u</w:t>
      </w:r>
      <w:r w:rsidR="000B3F24" w:rsidRPr="008D6C06">
        <w:rPr>
          <w:rFonts w:ascii="Open Sans Light" w:hAnsi="Open Sans Light" w:cs="Open Sans Light"/>
          <w:b/>
          <w:bCs/>
          <w:sz w:val="20"/>
          <w:szCs w:val="20"/>
        </w:rPr>
        <w:t>zupełnieniu: ……………………………………</w:t>
      </w:r>
    </w:p>
    <w:p w14:paraId="4BD47924" w14:textId="77777777" w:rsidR="00F036AB" w:rsidRPr="00B910B3" w:rsidRDefault="00070215" w:rsidP="009E55C2">
      <w:pPr>
        <w:tabs>
          <w:tab w:val="num" w:pos="567"/>
        </w:tabs>
        <w:spacing w:before="240" w:line="276" w:lineRule="auto"/>
        <w:rPr>
          <w:rFonts w:ascii="Open Sans Light" w:hAnsi="Open Sans Light" w:cs="Calibri"/>
          <w:b/>
          <w:sz w:val="20"/>
          <w:szCs w:val="20"/>
        </w:rPr>
      </w:pPr>
      <w:r w:rsidRPr="00B910B3">
        <w:rPr>
          <w:rFonts w:ascii="Open Sans Light" w:hAnsi="Open Sans Light" w:cs="Calibri"/>
          <w:b/>
          <w:sz w:val="20"/>
          <w:szCs w:val="20"/>
        </w:rPr>
        <w:t>Kryteria specyficzne rankingujące: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Lista sprawdzająca projektu zgłoszonego do dofinansowania w ramach programu Fundusze Europejskie na Infrastrukturę, Klimat, Środowisko 2021-2027"/>
        <w:tblDescription w:val="Lista sprawdzająca projektu zgłoszonego do dofinansowania w ramach programu Fundusze Europejskie na Infrastrukturę, Klimat, Środowisko 2021-2027 w ramach kryteriów spcecyficznych rankingujących w obszarze podstawowym"/>
      </w:tblPr>
      <w:tblGrid>
        <w:gridCol w:w="567"/>
        <w:gridCol w:w="1560"/>
        <w:gridCol w:w="2977"/>
        <w:gridCol w:w="6237"/>
        <w:gridCol w:w="1134"/>
        <w:gridCol w:w="2976"/>
      </w:tblGrid>
      <w:tr w:rsidR="009C2D67" w:rsidRPr="003278B5" w14:paraId="35DA5FAB" w14:textId="77777777" w:rsidTr="00CB2622">
        <w:trPr>
          <w:tblHeader/>
        </w:trPr>
        <w:tc>
          <w:tcPr>
            <w:tcW w:w="567" w:type="dxa"/>
            <w:vAlign w:val="center"/>
          </w:tcPr>
          <w:p w14:paraId="31383E55" w14:textId="77777777" w:rsidR="009C2D67" w:rsidRPr="003278B5" w:rsidRDefault="0080295E" w:rsidP="00E85E51">
            <w:pPr>
              <w:widowControl w:val="0"/>
              <w:spacing w:before="120" w:after="120"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  <w:vAlign w:val="center"/>
          </w:tcPr>
          <w:p w14:paraId="55BC1E11" w14:textId="77777777" w:rsidR="009C2D67" w:rsidRPr="003278B5" w:rsidRDefault="009C2D67" w:rsidP="00E85E51">
            <w:pPr>
              <w:widowControl w:val="0"/>
              <w:spacing w:before="120" w:after="120"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2977" w:type="dxa"/>
            <w:vAlign w:val="center"/>
          </w:tcPr>
          <w:p w14:paraId="2CDA4E30" w14:textId="77777777" w:rsidR="009C2D67" w:rsidRPr="003278B5" w:rsidRDefault="001C3622" w:rsidP="00E85E51">
            <w:pPr>
              <w:widowControl w:val="0"/>
              <w:spacing w:before="120" w:after="120"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sz w:val="18"/>
                <w:szCs w:val="18"/>
              </w:rPr>
              <w:t xml:space="preserve">Definicja </w:t>
            </w:r>
            <w:r w:rsidR="009C2D67" w:rsidRPr="003278B5">
              <w:rPr>
                <w:rFonts w:ascii="Open Sans Light" w:hAnsi="Open Sans Light" w:cs="Arial"/>
                <w:b/>
                <w:sz w:val="18"/>
                <w:szCs w:val="18"/>
              </w:rPr>
              <w:t>kryterium</w:t>
            </w:r>
          </w:p>
        </w:tc>
        <w:tc>
          <w:tcPr>
            <w:tcW w:w="6237" w:type="dxa"/>
            <w:vAlign w:val="center"/>
          </w:tcPr>
          <w:p w14:paraId="4DF66360" w14:textId="77777777" w:rsidR="009C2D67" w:rsidRPr="003278B5" w:rsidRDefault="001C3622" w:rsidP="00E85E51">
            <w:pPr>
              <w:widowControl w:val="0"/>
              <w:spacing w:before="120" w:after="120" w:line="276" w:lineRule="auto"/>
              <w:outlineLvl w:val="3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sz w:val="18"/>
                <w:szCs w:val="18"/>
              </w:rPr>
              <w:t xml:space="preserve">Sposób </w:t>
            </w:r>
            <w:r w:rsidR="0080295E" w:rsidRPr="003278B5">
              <w:rPr>
                <w:rFonts w:ascii="Open Sans Light" w:hAnsi="Open Sans Light" w:cs="Arial"/>
                <w:b/>
                <w:sz w:val="18"/>
                <w:szCs w:val="18"/>
              </w:rPr>
              <w:t>oceny</w:t>
            </w:r>
          </w:p>
        </w:tc>
        <w:tc>
          <w:tcPr>
            <w:tcW w:w="1134" w:type="dxa"/>
            <w:vAlign w:val="center"/>
          </w:tcPr>
          <w:p w14:paraId="004F2ED9" w14:textId="77777777" w:rsidR="009C2D67" w:rsidRPr="003278B5" w:rsidRDefault="0080295E" w:rsidP="00E85E51">
            <w:pPr>
              <w:widowControl w:val="0"/>
              <w:spacing w:before="120" w:after="120"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sz w:val="18"/>
                <w:szCs w:val="18"/>
              </w:rPr>
              <w:t>Przyznana punktacja</w:t>
            </w:r>
          </w:p>
        </w:tc>
        <w:tc>
          <w:tcPr>
            <w:tcW w:w="2976" w:type="dxa"/>
            <w:vAlign w:val="center"/>
          </w:tcPr>
          <w:p w14:paraId="78C4ED8E" w14:textId="77777777" w:rsidR="009C2D67" w:rsidRPr="003278B5" w:rsidRDefault="0080295E" w:rsidP="00E85E51">
            <w:pPr>
              <w:widowControl w:val="0"/>
              <w:spacing w:before="120" w:after="120"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sz w:val="18"/>
                <w:szCs w:val="18"/>
              </w:rPr>
              <w:t>Szczegółowe uzasadnienia</w:t>
            </w:r>
          </w:p>
        </w:tc>
      </w:tr>
      <w:tr w:rsidR="009C2D67" w:rsidRPr="003278B5" w14:paraId="45D789B0" w14:textId="77777777" w:rsidTr="00CB2622">
        <w:tc>
          <w:tcPr>
            <w:tcW w:w="567" w:type="dxa"/>
          </w:tcPr>
          <w:p w14:paraId="1594E762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0C7D604A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nr 1 - Aglomeracje priorytetowe dla wypełnienia zobowiązań akcesyjnych</w:t>
            </w:r>
          </w:p>
        </w:tc>
        <w:tc>
          <w:tcPr>
            <w:tcW w:w="2977" w:type="dxa"/>
          </w:tcPr>
          <w:p w14:paraId="40E3A783" w14:textId="77777777" w:rsidR="009C2D67" w:rsidRPr="003278B5" w:rsidRDefault="009C2D67" w:rsidP="00E85E51">
            <w:pPr>
              <w:spacing w:line="276" w:lineRule="auto"/>
              <w:rPr>
                <w:rFonts w:ascii="Open Sans Light" w:hAnsi="Open Sans Light"/>
                <w:sz w:val="18"/>
              </w:rPr>
            </w:pPr>
            <w:r w:rsidRPr="003278B5">
              <w:rPr>
                <w:rFonts w:ascii="Open Sans Light" w:hAnsi="Open Sans Light"/>
                <w:sz w:val="18"/>
              </w:rPr>
              <w:t xml:space="preserve">Kryterium premiujące aglomeracje priorytetowe dla wypełnienia zobowiązań akcesyjnych, tj. aglomeracje o wielkości równej lub większej niż 100 000 RLM, które nie spełniają </w:t>
            </w:r>
            <w:r w:rsidRPr="003278B5">
              <w:rPr>
                <w:rFonts w:ascii="Open Sans Light" w:hAnsi="Open Sans Light"/>
                <w:sz w:val="18"/>
              </w:rPr>
              <w:lastRenderedPageBreak/>
              <w:t>co najmniej jednego z warunków zgodności z dyrektywą ściekowych, określonych w KPOŚK</w:t>
            </w:r>
            <w:r w:rsidR="00542EF9" w:rsidRPr="003278B5">
              <w:rPr>
                <w:rFonts w:ascii="Open Sans Light" w:hAnsi="Open Sans Light"/>
                <w:sz w:val="18"/>
              </w:rPr>
              <w:t>.</w:t>
            </w:r>
            <w:r w:rsidRPr="003278B5">
              <w:rPr>
                <w:rFonts w:ascii="Open Sans Light" w:hAnsi="Open Sans Light"/>
                <w:sz w:val="18"/>
              </w:rPr>
              <w:t xml:space="preserve"> </w:t>
            </w:r>
          </w:p>
          <w:p w14:paraId="789E2201" w14:textId="77777777" w:rsidR="009C2D67" w:rsidRPr="003278B5" w:rsidRDefault="009C2D67" w:rsidP="00E85E51">
            <w:pPr>
              <w:spacing w:line="276" w:lineRule="auto"/>
              <w:rPr>
                <w:rFonts w:ascii="Open Sans Light" w:hAnsi="Open Sans Light"/>
                <w:sz w:val="18"/>
              </w:rPr>
            </w:pPr>
          </w:p>
          <w:p w14:paraId="658B8343" w14:textId="77777777" w:rsidR="009C2D67" w:rsidRPr="003278B5" w:rsidRDefault="009C2D67" w:rsidP="00E85E51">
            <w:pPr>
              <w:spacing w:line="276" w:lineRule="auto"/>
              <w:rPr>
                <w:rFonts w:ascii="Open Sans Light" w:hAnsi="Open Sans Light"/>
                <w:sz w:val="18"/>
              </w:rPr>
            </w:pPr>
          </w:p>
        </w:tc>
        <w:tc>
          <w:tcPr>
            <w:tcW w:w="6237" w:type="dxa"/>
          </w:tcPr>
          <w:p w14:paraId="343787C5" w14:textId="77777777" w:rsidR="009C2D67" w:rsidRPr="003278B5" w:rsidRDefault="009C2D67" w:rsidP="00CB2622">
            <w:pPr>
              <w:spacing w:before="120" w:after="120" w:line="276" w:lineRule="auto"/>
              <w:rPr>
                <w:rFonts w:ascii="Open Sans Light" w:hAnsi="Open Sans Light"/>
                <w:sz w:val="18"/>
              </w:rPr>
            </w:pPr>
            <w:r w:rsidRPr="003278B5">
              <w:rPr>
                <w:rFonts w:ascii="Open Sans Light" w:hAnsi="Open Sans Light"/>
                <w:sz w:val="18"/>
              </w:rPr>
              <w:lastRenderedPageBreak/>
              <w:t>25 pkt. – maksymalną liczbę punktów projekt może uzyskać, gdy realizowany jest na obszarze aglomeracji o wielkość równej lub większej 100 000 RLM.</w:t>
            </w:r>
          </w:p>
          <w:p w14:paraId="51604FA8" w14:textId="77777777" w:rsidR="009C2D67" w:rsidRPr="003278B5" w:rsidRDefault="009C2D67" w:rsidP="00CB2622">
            <w:pPr>
              <w:spacing w:before="120" w:after="120" w:line="276" w:lineRule="auto"/>
              <w:rPr>
                <w:rFonts w:ascii="Open Sans Light" w:hAnsi="Open Sans Light"/>
                <w:sz w:val="18"/>
              </w:rPr>
            </w:pPr>
            <w:r w:rsidRPr="003278B5">
              <w:rPr>
                <w:rFonts w:ascii="Open Sans Light" w:hAnsi="Open Sans Light"/>
                <w:sz w:val="18"/>
              </w:rPr>
              <w:t>0 pkt. – aglomeracje niespełniające wymogów dyrektywy o wielkości od 15 000 RLM do 99 999 RLM.</w:t>
            </w:r>
          </w:p>
          <w:p w14:paraId="76DCB79F" w14:textId="77777777" w:rsidR="00511931" w:rsidRPr="003278B5" w:rsidRDefault="00F931EE" w:rsidP="00CB2622">
            <w:pPr>
              <w:spacing w:before="120" w:after="120" w:line="276" w:lineRule="auto"/>
              <w:rPr>
                <w:rFonts w:ascii="Open Sans Light" w:hAnsi="Open Sans Light"/>
                <w:sz w:val="18"/>
              </w:rPr>
            </w:pPr>
            <w:r w:rsidRPr="003278B5">
              <w:rPr>
                <w:rFonts w:ascii="Open Sans Light" w:hAnsi="Open Sans Light"/>
                <w:sz w:val="18"/>
              </w:rPr>
              <w:lastRenderedPageBreak/>
              <w:t>Weryfikacja wielkości aglomeracji następuje na podstawie kolumny „</w:t>
            </w:r>
            <w:r w:rsidR="008111E5" w:rsidRPr="003278B5">
              <w:rPr>
                <w:rFonts w:ascii="Open Sans Light" w:hAnsi="Open Sans Light"/>
                <w:sz w:val="18"/>
              </w:rPr>
              <w:t>RLM aglomeracji</w:t>
            </w:r>
            <w:r w:rsidRPr="003278B5">
              <w:rPr>
                <w:rFonts w:ascii="Open Sans Light" w:hAnsi="Open Sans Light"/>
                <w:sz w:val="18"/>
              </w:rPr>
              <w:t xml:space="preserve">” w wykazie niezbędnych przedsięwzięć w zakresie budowy, rozbudowy i modernizacji urządzeń kanalizacyjnych, stanowiącym załącznik do </w:t>
            </w:r>
            <w:r w:rsidR="00F067C9" w:rsidRPr="003278B5">
              <w:rPr>
                <w:rFonts w:ascii="Open Sans Light" w:hAnsi="Open Sans Light"/>
                <w:sz w:val="18"/>
              </w:rPr>
              <w:t xml:space="preserve">aktualizacji KPOŚK </w:t>
            </w:r>
            <w:r w:rsidR="0068767B" w:rsidRPr="003278B5">
              <w:rPr>
                <w:rFonts w:ascii="Open Sans Light" w:hAnsi="Open Sans Light"/>
                <w:sz w:val="18"/>
              </w:rPr>
              <w:t>(</w:t>
            </w:r>
            <w:r w:rsidR="00F067C9" w:rsidRPr="003278B5">
              <w:rPr>
                <w:rFonts w:ascii="Open Sans Light" w:hAnsi="Open Sans Light"/>
                <w:sz w:val="18"/>
              </w:rPr>
              <w:t>obowiązującej w dniu złożenia wniosku o dofinansowanie</w:t>
            </w:r>
            <w:r w:rsidR="00542EF9" w:rsidRPr="003278B5">
              <w:rPr>
                <w:rFonts w:ascii="Open Sans Light" w:hAnsi="Open Sans Light"/>
                <w:sz w:val="18"/>
              </w:rPr>
              <w:t>)</w:t>
            </w:r>
            <w:r w:rsidR="00542EF9" w:rsidRPr="003278B5">
              <w:rPr>
                <w:rStyle w:val="Odwoanieprzypisudolnego"/>
                <w:rFonts w:ascii="Open Sans Light" w:hAnsi="Open Sans Light"/>
                <w:sz w:val="18"/>
              </w:rPr>
              <w:footnoteReference w:id="1"/>
            </w:r>
            <w:r w:rsidR="00542EF9" w:rsidRPr="003278B5">
              <w:rPr>
                <w:rFonts w:ascii="Open Sans Light" w:hAnsi="Open Sans Light"/>
                <w:sz w:val="18"/>
              </w:rPr>
              <w:t>.</w:t>
            </w:r>
          </w:p>
          <w:p w14:paraId="0C7D3591" w14:textId="77777777" w:rsidR="009C2D67" w:rsidRPr="003278B5" w:rsidRDefault="009C2D67" w:rsidP="00E85E51">
            <w:pPr>
              <w:spacing w:line="276" w:lineRule="auto"/>
              <w:rPr>
                <w:rFonts w:ascii="Open Sans Light" w:hAnsi="Open Sans Light"/>
                <w:sz w:val="18"/>
              </w:rPr>
            </w:pPr>
            <w:r w:rsidRPr="003278B5">
              <w:rPr>
                <w:rFonts w:ascii="Open Sans Light" w:hAnsi="Open Sans Light"/>
                <w:sz w:val="18"/>
              </w:rPr>
              <w:t>W przypadku, gdy projekt jest realizowany na obszarze więcej niż jednej aglomeracji, maksymalną liczbę punktów projekt może uzyskać, jeżeli wielkość co najmniej jednej z aglomeracji będzie większa lub równa 100 tys. RLM. Punkty uzyskane przez poszczególne aglomeracje projektu nie sumują się.</w:t>
            </w:r>
          </w:p>
        </w:tc>
        <w:tc>
          <w:tcPr>
            <w:tcW w:w="1134" w:type="dxa"/>
          </w:tcPr>
          <w:p w14:paraId="3A7CB73F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</w:p>
        </w:tc>
        <w:tc>
          <w:tcPr>
            <w:tcW w:w="2976" w:type="dxa"/>
          </w:tcPr>
          <w:p w14:paraId="5D8EAEDF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</w:p>
        </w:tc>
      </w:tr>
      <w:tr w:rsidR="009C2D67" w:rsidRPr="003278B5" w14:paraId="60C5A020" w14:textId="77777777" w:rsidTr="00CB2622">
        <w:tc>
          <w:tcPr>
            <w:tcW w:w="567" w:type="dxa"/>
          </w:tcPr>
          <w:p w14:paraId="78C9F542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14:paraId="76D2DA63" w14:textId="77777777" w:rsidR="009C2D67" w:rsidRPr="003278B5" w:rsidRDefault="009C2D67" w:rsidP="00E85E51">
            <w:pPr>
              <w:spacing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nr 2 - Wypełnienie przez aglomerację wymogów dyrektywy Rady 91/271/EWG dotyczącej oczyszczania ścieków komunalnych</w:t>
            </w:r>
          </w:p>
        </w:tc>
        <w:tc>
          <w:tcPr>
            <w:tcW w:w="2977" w:type="dxa"/>
          </w:tcPr>
          <w:p w14:paraId="1210FA15" w14:textId="77777777" w:rsidR="009C2D67" w:rsidRPr="003278B5" w:rsidRDefault="009C2D67" w:rsidP="00E85E51">
            <w:pPr>
              <w:spacing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premiujące spełnienie przez aglomeracj</w:t>
            </w:r>
            <w:r w:rsidR="00BA6EBD" w:rsidRPr="003278B5">
              <w:rPr>
                <w:rFonts w:ascii="Open Sans Light" w:hAnsi="Open Sans Light" w:cs="Arial"/>
                <w:sz w:val="18"/>
                <w:szCs w:val="18"/>
              </w:rPr>
              <w:t>ę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wszystkich wymogów dyrektywy ściekowej, tj. wszystkich trzech warunków </w:t>
            </w:r>
            <w:r w:rsidR="00BA6EBD" w:rsidRPr="003278B5">
              <w:rPr>
                <w:rFonts w:ascii="Open Sans Light" w:hAnsi="Open Sans Light" w:cs="Arial"/>
                <w:sz w:val="18"/>
                <w:szCs w:val="18"/>
              </w:rPr>
              <w:t>określonych w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KPOŚK</w:t>
            </w:r>
            <w:r w:rsidR="009A7F74" w:rsidRPr="003278B5">
              <w:rPr>
                <w:rFonts w:ascii="Open Sans Light" w:hAnsi="Open Sans Light" w:cs="Arial"/>
                <w:sz w:val="18"/>
                <w:szCs w:val="18"/>
              </w:rPr>
              <w:t>:</w:t>
            </w:r>
            <w:r w:rsidR="00BA6EBD" w:rsidRPr="003278B5">
              <w:rPr>
                <w:rFonts w:ascii="Open Sans Light" w:hAnsi="Open Sans Light" w:cs="Arial"/>
                <w:sz w:val="18"/>
                <w:szCs w:val="18"/>
              </w:rPr>
              <w:t xml:space="preserve"> </w:t>
            </w:r>
          </w:p>
          <w:p w14:paraId="3056C3AF" w14:textId="77777777" w:rsidR="009C2D67" w:rsidRPr="003278B5" w:rsidRDefault="009C2D67" w:rsidP="00E85E51">
            <w:pPr>
              <w:numPr>
                <w:ilvl w:val="0"/>
                <w:numId w:val="7"/>
              </w:numPr>
              <w:spacing w:line="276" w:lineRule="auto"/>
              <w:ind w:left="317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Warunek I - stopień skanalizowania (zgodność z art. 3 dyrektywy);</w:t>
            </w:r>
          </w:p>
          <w:p w14:paraId="0B9DD211" w14:textId="77777777" w:rsidR="009C2D67" w:rsidRPr="003278B5" w:rsidRDefault="009C2D67" w:rsidP="00E85E51">
            <w:pPr>
              <w:numPr>
                <w:ilvl w:val="0"/>
                <w:numId w:val="7"/>
              </w:numPr>
              <w:spacing w:line="276" w:lineRule="auto"/>
              <w:ind w:left="317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Warunek II - wydajność oczyszczalni (zgodność z art. 10 dyrektywy);</w:t>
            </w:r>
          </w:p>
          <w:p w14:paraId="40908036" w14:textId="77777777" w:rsidR="009C2D67" w:rsidRPr="003278B5" w:rsidRDefault="009C2D67" w:rsidP="00E85E51">
            <w:pPr>
              <w:numPr>
                <w:ilvl w:val="0"/>
                <w:numId w:val="7"/>
              </w:numPr>
              <w:spacing w:line="276" w:lineRule="auto"/>
              <w:ind w:left="317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Warunek III - standardy oczyszczania</w:t>
            </w:r>
          </w:p>
          <w:p w14:paraId="02936DA4" w14:textId="77777777" w:rsidR="009C2D67" w:rsidRPr="003278B5" w:rsidRDefault="009C2D67" w:rsidP="00E85E51">
            <w:pPr>
              <w:spacing w:line="276" w:lineRule="auto"/>
              <w:ind w:left="317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(zgodność z art. 4 i 5.2 dyrektywy). </w:t>
            </w:r>
          </w:p>
          <w:p w14:paraId="6CE1CDC5" w14:textId="77777777" w:rsidR="009C2D67" w:rsidRPr="003278B5" w:rsidRDefault="009C2D67" w:rsidP="00E85E51">
            <w:pPr>
              <w:spacing w:line="276" w:lineRule="auto"/>
              <w:ind w:left="317"/>
              <w:rPr>
                <w:rFonts w:ascii="Open Sans Light" w:hAnsi="Open Sans Light" w:cs="Arial"/>
                <w:sz w:val="18"/>
                <w:szCs w:val="18"/>
              </w:rPr>
            </w:pPr>
          </w:p>
          <w:p w14:paraId="2D9FEA51" w14:textId="77777777" w:rsidR="009C2D67" w:rsidRPr="003278B5" w:rsidRDefault="009C2D67" w:rsidP="00E85E51">
            <w:pPr>
              <w:spacing w:line="276" w:lineRule="auto"/>
              <w:rPr>
                <w:rFonts w:ascii="Open Sans Light" w:hAnsi="Open Sans Light" w:cs="Arial"/>
                <w:sz w:val="18"/>
                <w:szCs w:val="18"/>
              </w:rPr>
            </w:pPr>
          </w:p>
          <w:p w14:paraId="6AECF79F" w14:textId="77777777" w:rsidR="009C2D67" w:rsidRPr="003278B5" w:rsidRDefault="009C2D67" w:rsidP="00E85E51">
            <w:pPr>
              <w:spacing w:line="276" w:lineRule="auto"/>
              <w:rPr>
                <w:rFonts w:ascii="Open Sans Light" w:hAnsi="Open Sans Light" w:cs="Arial"/>
                <w:sz w:val="18"/>
                <w:szCs w:val="18"/>
              </w:rPr>
            </w:pPr>
          </w:p>
          <w:p w14:paraId="1FE47292" w14:textId="77777777" w:rsidR="009C2D67" w:rsidRPr="003278B5" w:rsidRDefault="009C2D67" w:rsidP="00E85E51">
            <w:pPr>
              <w:spacing w:line="276" w:lineRule="auto"/>
              <w:rPr>
                <w:rFonts w:ascii="Open Sans Light" w:hAnsi="Open Sans Light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1A0BFC6B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25 pkt. – otrzymuje projekt, który po zakończeniu realizacji wykaże spełnienie wszystkich wymogów dyrektywy ściekowej, tj. wszystkich trzech warunków zgodn</w:t>
            </w:r>
            <w:r w:rsidR="00E10EA4" w:rsidRPr="003278B5">
              <w:rPr>
                <w:rFonts w:ascii="Open Sans Light" w:hAnsi="Open Sans Light" w:cs="Arial"/>
                <w:sz w:val="18"/>
                <w:szCs w:val="18"/>
              </w:rPr>
              <w:t>ości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</w:t>
            </w:r>
            <w:r w:rsidR="00E10EA4" w:rsidRPr="003278B5">
              <w:rPr>
                <w:rFonts w:ascii="Open Sans Light" w:hAnsi="Open Sans Light" w:cs="Arial"/>
                <w:sz w:val="18"/>
                <w:szCs w:val="18"/>
              </w:rPr>
              <w:t>określonych w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KPOŚK łącznie, niezależnie od zakresu projektu.</w:t>
            </w:r>
          </w:p>
          <w:p w14:paraId="58DF633F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0 pkt. – </w:t>
            </w:r>
            <w:r w:rsidR="004B6703" w:rsidRPr="003278B5">
              <w:rPr>
                <w:rFonts w:ascii="Open Sans Light" w:hAnsi="Open Sans Light" w:cs="Arial"/>
                <w:sz w:val="18"/>
                <w:szCs w:val="18"/>
              </w:rPr>
              <w:t xml:space="preserve">otrzymuje projekt, w przypadku gdy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po zakończeniu realizacji projektu aglomeracja nie spełni </w:t>
            </w:r>
            <w:r w:rsidR="005B1321" w:rsidRPr="003278B5">
              <w:rPr>
                <w:rFonts w:ascii="Open Sans Light" w:hAnsi="Open Sans Light" w:cs="Arial"/>
                <w:sz w:val="18"/>
                <w:szCs w:val="18"/>
              </w:rPr>
              <w:t xml:space="preserve">któregokolwiek z warunków zgodności z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dyrektyw</w:t>
            </w:r>
            <w:r w:rsidR="005B1321" w:rsidRPr="003278B5">
              <w:rPr>
                <w:rFonts w:ascii="Open Sans Light" w:hAnsi="Open Sans Light" w:cs="Arial"/>
                <w:sz w:val="18"/>
                <w:szCs w:val="18"/>
              </w:rPr>
              <w:t>ą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ściekow</w:t>
            </w:r>
            <w:r w:rsidR="005B1321" w:rsidRPr="003278B5">
              <w:rPr>
                <w:rFonts w:ascii="Open Sans Light" w:hAnsi="Open Sans Light" w:cs="Arial"/>
                <w:sz w:val="18"/>
                <w:szCs w:val="18"/>
              </w:rPr>
              <w:t>ą</w:t>
            </w:r>
            <w:r w:rsidR="004B6703" w:rsidRPr="003278B5">
              <w:rPr>
                <w:rFonts w:ascii="Open Sans Light" w:hAnsi="Open Sans Light" w:cs="Arial"/>
                <w:sz w:val="18"/>
                <w:szCs w:val="18"/>
              </w:rPr>
              <w:t>, określonych w KPOŚK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.</w:t>
            </w:r>
          </w:p>
          <w:p w14:paraId="0CEF4194" w14:textId="77777777" w:rsidR="00CB2622" w:rsidRDefault="00A1070D" w:rsidP="00CB2622">
            <w:pPr>
              <w:spacing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Spełnienie kryterium jest oceniane na podstawie informacji zawartych w obowiązującej na dzień złożenia wniosku </w:t>
            </w:r>
            <w:r w:rsidR="00BA6EBD" w:rsidRPr="003278B5">
              <w:rPr>
                <w:rFonts w:ascii="Open Sans Light" w:hAnsi="Open Sans Light" w:cs="Arial"/>
                <w:sz w:val="18"/>
                <w:szCs w:val="18"/>
              </w:rPr>
              <w:t xml:space="preserve">aktualizacji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KPOŚK</w:t>
            </w:r>
            <w:r w:rsidR="00542EF9" w:rsidRPr="003278B5">
              <w:rPr>
                <w:rFonts w:ascii="Open Sans Light" w:hAnsi="Open Sans Light" w:cs="Arial"/>
                <w:sz w:val="18"/>
                <w:szCs w:val="18"/>
                <w:vertAlign w:val="superscript"/>
              </w:rPr>
              <w:t>1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oraz efektów realizacji projektu</w:t>
            </w:r>
            <w:r w:rsidR="004B6703" w:rsidRPr="003278B5">
              <w:rPr>
                <w:rFonts w:ascii="Open Sans Light" w:hAnsi="Open Sans Light" w:cs="Arial"/>
                <w:sz w:val="18"/>
                <w:szCs w:val="18"/>
              </w:rPr>
              <w:t>, bądź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innych inwestycji już zrealizowanych lub </w:t>
            </w:r>
            <w:r w:rsidR="00B2646B" w:rsidRPr="003278B5">
              <w:rPr>
                <w:rFonts w:ascii="Open Sans Light" w:hAnsi="Open Sans Light" w:cs="Arial"/>
                <w:sz w:val="18"/>
                <w:szCs w:val="18"/>
              </w:rPr>
              <w:t xml:space="preserve">będących w realizacji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poza projektem.</w:t>
            </w:r>
          </w:p>
          <w:p w14:paraId="51B38E80" w14:textId="77777777" w:rsidR="009C2D67" w:rsidRDefault="009C2D67" w:rsidP="00CB2622">
            <w:pPr>
              <w:spacing w:before="120"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W przypadku, gdy projekt jest realizowany na obszarze więcej niż jednej aglomeracji, projekt uzyska maksymalną liczbę punktów, jeżeli po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zakończeniu projektu przynajmniej jedna z aglomeracji spełni wszystkie trzy warunki dotyczące wypełnienia wymogów dyrektywy ściekowej określone w KPOŚK. Punkty uzyskane przez poszczególne aglomeracje objęte projektem nie sumują się.</w:t>
            </w:r>
          </w:p>
          <w:p w14:paraId="706EA621" w14:textId="77777777" w:rsidR="009C14FA" w:rsidRPr="003278B5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7F48BC">
              <w:rPr>
                <w:rFonts w:ascii="Open Sans" w:hAnsi="Open Sans"/>
                <w:b/>
                <w:bCs/>
                <w:sz w:val="20"/>
              </w:rPr>
              <w:t>Kryterium rozstrzygające.</w:t>
            </w:r>
          </w:p>
        </w:tc>
        <w:tc>
          <w:tcPr>
            <w:tcW w:w="1134" w:type="dxa"/>
          </w:tcPr>
          <w:p w14:paraId="5FE833D3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</w:p>
        </w:tc>
        <w:tc>
          <w:tcPr>
            <w:tcW w:w="2976" w:type="dxa"/>
          </w:tcPr>
          <w:p w14:paraId="6A191EF6" w14:textId="77777777" w:rsidR="009C2D67" w:rsidRPr="003278B5" w:rsidRDefault="009C2D67" w:rsidP="00E85E51">
            <w:pPr>
              <w:pStyle w:val="Tekstprzypisudolnego"/>
              <w:spacing w:line="276" w:lineRule="auto"/>
              <w:rPr>
                <w:rFonts w:ascii="Open Sans Light" w:hAnsi="Open Sans Light" w:cs="Arial"/>
                <w:sz w:val="18"/>
                <w:szCs w:val="18"/>
              </w:rPr>
            </w:pPr>
          </w:p>
        </w:tc>
      </w:tr>
      <w:tr w:rsidR="009C2D67" w:rsidRPr="003278B5" w14:paraId="51893DE8" w14:textId="77777777" w:rsidTr="00CB2622">
        <w:tc>
          <w:tcPr>
            <w:tcW w:w="567" w:type="dxa"/>
          </w:tcPr>
          <w:p w14:paraId="189CE6E3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6523E39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nr 3 -</w:t>
            </w:r>
          </w:p>
          <w:p w14:paraId="2C29ED8B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wyposażenia aglomeracji w system kanalizacji zbiorczej dla ścieków komunalnych (zgodność z art. 3 dyrektywy)</w:t>
            </w:r>
          </w:p>
        </w:tc>
        <w:tc>
          <w:tcPr>
            <w:tcW w:w="2977" w:type="dxa"/>
          </w:tcPr>
          <w:p w14:paraId="5F8AC95B" w14:textId="77777777" w:rsidR="009C2D67" w:rsidRPr="003278B5" w:rsidRDefault="009C2D67" w:rsidP="00E85E51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dotyczy spełnienia warunku I zgodn</w:t>
            </w:r>
            <w:r w:rsidR="00CF5164" w:rsidRPr="003278B5">
              <w:rPr>
                <w:rFonts w:ascii="Open Sans Light" w:hAnsi="Open Sans Light" w:cs="Arial"/>
                <w:sz w:val="18"/>
                <w:szCs w:val="18"/>
              </w:rPr>
              <w:t>ości z dyrektywa ściekową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</w:t>
            </w:r>
            <w:r w:rsidR="00CF5164" w:rsidRPr="003278B5">
              <w:rPr>
                <w:rFonts w:ascii="Open Sans Light" w:hAnsi="Open Sans Light" w:cs="Arial"/>
                <w:sz w:val="18"/>
                <w:szCs w:val="18"/>
              </w:rPr>
              <w:t>określonego w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KPOŚK</w:t>
            </w:r>
            <w:r w:rsidR="00CF5164" w:rsidRPr="003278B5">
              <w:rPr>
                <w:rFonts w:ascii="Open Sans Light" w:hAnsi="Open Sans Light" w:cs="Arial"/>
                <w:sz w:val="18"/>
                <w:szCs w:val="18"/>
              </w:rPr>
              <w:t>,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polegającego na wyposażeniu aglomeracji w systemy zbierania ścieków komunalnych gwarantującego przynajmniej 98% poziomu obsługi, przy czym pozostałe 2% niezebranego siecią kanalizacyjną ładunku jest mniejsze niż 2 000 RLM. Ładunek niezebrany siecią musi być oczyszczany w innych systemach oczyszczania ścieków (pojedyncze systemy lub inne właściwe systemy), zapewniających ten sam poziom ochrony środowiska jak dla całej aglomeracji (art. 3 dyrektywy 91/271/EWG).</w:t>
            </w:r>
          </w:p>
          <w:p w14:paraId="6A5B9C6C" w14:textId="77777777" w:rsidR="009C2D67" w:rsidRPr="003278B5" w:rsidRDefault="009C2D67" w:rsidP="00E85E51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Stopień wyposażenia rozumiany jest jako liczba RLM obsługiwanych przez system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zbiorowego odprowadzania i oczyszczania ścieków, w odniesieniu do wielkości RLM aglomeracji.</w:t>
            </w:r>
          </w:p>
          <w:p w14:paraId="578CB872" w14:textId="77777777" w:rsidR="009C2D67" w:rsidRPr="003278B5" w:rsidRDefault="009C2D67" w:rsidP="00E85E51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4C8CC5C1" w14:textId="77777777" w:rsidR="009C2D67" w:rsidRPr="003278B5" w:rsidRDefault="009C2D67" w:rsidP="00CB2622">
            <w:pPr>
              <w:pStyle w:val="Default"/>
              <w:spacing w:before="120" w:after="120" w:line="276" w:lineRule="auto"/>
              <w:rPr>
                <w:rFonts w:ascii="Open Sans Light" w:hAnsi="Open Sans Light"/>
                <w:sz w:val="18"/>
                <w:szCs w:val="18"/>
              </w:rPr>
            </w:pPr>
            <w:r w:rsidRPr="003278B5">
              <w:rPr>
                <w:rFonts w:ascii="Open Sans Light" w:hAnsi="Open Sans Light"/>
                <w:sz w:val="18"/>
                <w:szCs w:val="18"/>
              </w:rPr>
              <w:lastRenderedPageBreak/>
              <w:t>40 pkt – jeżeli po zakończeniu projektu współczynnik wyposażenia aglomeracji w system kanalizacji będzie wynosił minimum 98%, przy czym pozostałe 2% niezebranego siecią kanalizacyjną ładunku jest mniejsze niż 2 000 RLM (zgodność z art. 3 dyrektywy, spełnienie warunku I zgodnie z KPOŚK);</w:t>
            </w:r>
          </w:p>
          <w:p w14:paraId="4F8B5CDF" w14:textId="77777777" w:rsidR="009C14FA" w:rsidRDefault="009C14FA" w:rsidP="00CB2622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>20 pkt – jeśli projekt przyczynia się do osiągnięcia zgodności z dyrektywą w zakresie warunku I.</w:t>
            </w:r>
          </w:p>
          <w:p w14:paraId="3076B619" w14:textId="77777777" w:rsidR="00F840BF" w:rsidRPr="003278B5" w:rsidRDefault="00DF645E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Weryfikacja odbywa się na podstawie efektów realizacji projektu, bądź innych inwestycji zrealizowanych lub będących w realizacji poza projektem, oraz danych dotyczących RLM aglomeracji  zawartych w KPOŚK (obowiązującej w dniu złożenia wniosku)</w:t>
            </w:r>
            <w:r w:rsidR="00065A35" w:rsidRPr="003278B5">
              <w:rPr>
                <w:rFonts w:ascii="Open Sans Light" w:hAnsi="Open Sans Light" w:cs="Arial"/>
                <w:sz w:val="18"/>
                <w:szCs w:val="18"/>
                <w:vertAlign w:val="superscript"/>
              </w:rPr>
              <w:t xml:space="preserve">1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– kolumna „RLM aglomeracji”.</w:t>
            </w:r>
          </w:p>
          <w:p w14:paraId="5534A3D0" w14:textId="77777777" w:rsidR="00CF5164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Projekt obejmujący więcej niż jedną aglomerację, może uzyskać maksymalną liczbę punktów, jeżeli po jego zakończeniu współczynnik wyposażenia aglomeracji w system kanalizacji przynajmniej jednej z aglomeracji objętych projektem, wyniesie min. 98%, a pozostałe 2% niezebranego siecią kanalizacyjną ładunku będzie mniejsze niż 2 000 RLM (tj. spełni warunek I zgodnie z KPOŚK).</w:t>
            </w:r>
          </w:p>
          <w:p w14:paraId="5F7D4E62" w14:textId="77777777" w:rsidR="00CF5164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Projekt otrzyma 20 pkt. w przypadku gdy przynajmniej jedna aglomeracja objęta projektem, spełni kryterium w zakresie współczynnika wyposażenia w system kanalizacji (tj. min. 98%),  jednak nadal nie spełni warunku, aby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pozostałe 2%  niezebranego siecią ładunku było  mniejsze 2</w:t>
            </w:r>
            <w:r w:rsidR="00CF5164" w:rsidRPr="003278B5">
              <w:rPr>
                <w:rFonts w:ascii="Open Sans Light" w:hAnsi="Open Sans Light" w:cs="Arial"/>
                <w:sz w:val="18"/>
                <w:szCs w:val="18"/>
              </w:rPr>
              <w:t> 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000 RLM.</w:t>
            </w:r>
          </w:p>
          <w:p w14:paraId="6534EE0D" w14:textId="77777777" w:rsidR="009C2D67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Do wyliczenia maksymalnej liczby punktów nie uwzględnia się aglomeracji, które w dniu złożenia wniosku  spełniają warunek I.</w:t>
            </w:r>
          </w:p>
          <w:p w14:paraId="3A9D4A81" w14:textId="77777777" w:rsidR="009C14FA" w:rsidRPr="003278B5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7F48BC">
              <w:rPr>
                <w:rFonts w:ascii="Open Sans" w:hAnsi="Open Sans"/>
                <w:b/>
                <w:bCs/>
                <w:sz w:val="20"/>
              </w:rPr>
              <w:t>Kryterium rozstrzygające.</w:t>
            </w:r>
          </w:p>
        </w:tc>
        <w:tc>
          <w:tcPr>
            <w:tcW w:w="1134" w:type="dxa"/>
          </w:tcPr>
          <w:p w14:paraId="3F401247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</w:p>
        </w:tc>
        <w:tc>
          <w:tcPr>
            <w:tcW w:w="2976" w:type="dxa"/>
          </w:tcPr>
          <w:p w14:paraId="1809F859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</w:p>
        </w:tc>
      </w:tr>
      <w:tr w:rsidR="009C2D67" w:rsidRPr="003278B5" w14:paraId="5E7B83AE" w14:textId="77777777" w:rsidTr="00CB2622">
        <w:tc>
          <w:tcPr>
            <w:tcW w:w="567" w:type="dxa"/>
          </w:tcPr>
          <w:p w14:paraId="1918C360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14:paraId="660C0866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nr 4 -</w:t>
            </w:r>
          </w:p>
          <w:p w14:paraId="76AB18AD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wydajności oczyszczalni (zgodność z art. 10 dyrektywy</w:t>
            </w:r>
          </w:p>
        </w:tc>
        <w:tc>
          <w:tcPr>
            <w:tcW w:w="2977" w:type="dxa"/>
          </w:tcPr>
          <w:p w14:paraId="1CDEAD12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dotyczy spełnienia warunku II zgodn</w:t>
            </w:r>
            <w:r w:rsidR="002713DB" w:rsidRPr="003278B5">
              <w:rPr>
                <w:rFonts w:ascii="Open Sans Light" w:hAnsi="Open Sans Light" w:cs="Arial"/>
                <w:sz w:val="18"/>
                <w:szCs w:val="18"/>
              </w:rPr>
              <w:t>ości z dyrektywą ściekową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, </w:t>
            </w:r>
            <w:r w:rsidR="002713DB" w:rsidRPr="003278B5">
              <w:rPr>
                <w:rFonts w:ascii="Open Sans Light" w:hAnsi="Open Sans Light" w:cs="Arial"/>
                <w:sz w:val="18"/>
                <w:szCs w:val="18"/>
              </w:rPr>
              <w:t xml:space="preserve">określonego w KPOŚK,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tj. potwierdzeniu, iż wydajność łącznie wszystkich oczyszczalni obsługujących aglomerację powinna być dostosowana do odbioru 100 % ładunku zanieczyszczeń powstających w aglomeracji (art. 10 dyrektywy 91/271/EWG).</w:t>
            </w:r>
          </w:p>
          <w:p w14:paraId="25A247B5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</w:p>
        </w:tc>
        <w:tc>
          <w:tcPr>
            <w:tcW w:w="6237" w:type="dxa"/>
          </w:tcPr>
          <w:p w14:paraId="5DA5BF1F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80 pkt – jeżeli projekt obejmuje zakresem budowę, rozbudowę lub modernizację oczyszczalni ścieków wynikającą z konieczności zwiększenia przepustowości oczyszczalni, prowadzącą do spełnienia przez aglomerację wymogów dyrektywy w zakresie wydajności oczyszczalni (zgodność z art. 10 dyrektywy, spełnienie warunku II zgodnie z KPOŚK);</w:t>
            </w:r>
          </w:p>
          <w:p w14:paraId="3AA1F655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40 pkt – jeżeli projekt obejmuje zakresem budowę, rozbudowę lub modernizację wynikającą z konieczności zwiększenia przepustowości oczyszczalni, jednak aglomeracja nadal nie spełni wymogów dyrektywy w zakresie wydajności oczyszczalni (brak zgodności z art. 10 dyrektywy i warunkiem II zgodnie z KPOŚK).</w:t>
            </w:r>
          </w:p>
          <w:p w14:paraId="7273EE32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0 pkt - w przypadku braku spełnienia któregokolwiek ze wskazanych wyżej warunków oceny lub gdy projekt nie obejmuje zakresem budowy, rozbudowy, modernizacji lub likwidacji oczyszczalni ścieków.</w:t>
            </w:r>
          </w:p>
          <w:p w14:paraId="6485F3C4" w14:textId="77777777" w:rsidR="002713DB" w:rsidRPr="003278B5" w:rsidRDefault="002713DB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Punkty za poszczególne elementy podlegające ocenie w ramach przedmiotowego kryterium nie sumują się.</w:t>
            </w:r>
          </w:p>
          <w:p w14:paraId="01E58CEF" w14:textId="77777777" w:rsidR="002713DB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Projekt obejmujący więcej niż jedną aglomerację może uzyskać maksymalną liczbę punktów, jeżeli po jego zakończeniu przynajmniej jedna z aglomeracji nim objętych spełni warunek II zgodn</w:t>
            </w:r>
            <w:r w:rsidR="002713DB" w:rsidRPr="003278B5">
              <w:rPr>
                <w:rFonts w:ascii="Open Sans Light" w:hAnsi="Open Sans Light" w:cs="Arial"/>
                <w:sz w:val="18"/>
                <w:szCs w:val="18"/>
              </w:rPr>
              <w:t>ości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z </w:t>
            </w:r>
            <w:r w:rsidR="002713DB" w:rsidRPr="003278B5">
              <w:rPr>
                <w:rFonts w:ascii="Open Sans Light" w:hAnsi="Open Sans Light" w:cs="Arial"/>
                <w:sz w:val="18"/>
                <w:szCs w:val="18"/>
              </w:rPr>
              <w:t>dyrektywą ściekową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. W pozostałych przypadkach, gdy przynajmniej w jednej z aglomeracji realizowana jest budowa, rozbudowa, modernizacja oczyszczalni ścieków obejmująca zwiększenie jej wydajności, ale realizacja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projektu nadal nie doprowadzi do pełnej zgodności aglomeracji z warunkiem II – projekt otrzymuje 40 punktów.</w:t>
            </w:r>
          </w:p>
          <w:p w14:paraId="5E5C616C" w14:textId="77777777" w:rsidR="009C14FA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Do wyliczenia liczby punktów nie uwzględnia się aglomeracji, które w dniu złożenia wniosku spełniają warunek II.</w:t>
            </w:r>
          </w:p>
          <w:p w14:paraId="191259B6" w14:textId="77777777" w:rsidR="009C2D67" w:rsidRPr="003278B5" w:rsidRDefault="009C14FA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B2F42">
              <w:rPr>
                <w:rFonts w:ascii="Open Sans" w:hAnsi="Open Sans"/>
                <w:b/>
                <w:bCs/>
                <w:sz w:val="20"/>
              </w:rPr>
              <w:t>Kryterium rozstrzygające.</w:t>
            </w:r>
          </w:p>
        </w:tc>
        <w:tc>
          <w:tcPr>
            <w:tcW w:w="1134" w:type="dxa"/>
          </w:tcPr>
          <w:p w14:paraId="70084DB1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</w:p>
        </w:tc>
        <w:tc>
          <w:tcPr>
            <w:tcW w:w="2976" w:type="dxa"/>
          </w:tcPr>
          <w:p w14:paraId="09997072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</w:p>
        </w:tc>
      </w:tr>
      <w:tr w:rsidR="009C2D67" w:rsidRPr="003278B5" w14:paraId="64915095" w14:textId="77777777" w:rsidTr="00CB2622">
        <w:tc>
          <w:tcPr>
            <w:tcW w:w="567" w:type="dxa"/>
          </w:tcPr>
          <w:p w14:paraId="437781E1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5ABE5C25" w14:textId="77777777" w:rsidR="009C2D67" w:rsidRPr="003278B5" w:rsidRDefault="009C2D67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nr 5 - Wypełnienie przez aglomerację wymogów dyrektywy Rady 91/271/EWG dotyczącej oczyszczania ścieków komunalnych w zakresie jakości oczyszczania ścieków komunalnych w zakresie standardów oczyszczania (zgodność z art. 4 i 5.2 dyrektywy)</w:t>
            </w:r>
          </w:p>
        </w:tc>
        <w:tc>
          <w:tcPr>
            <w:tcW w:w="2977" w:type="dxa"/>
          </w:tcPr>
          <w:p w14:paraId="53E1D540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Kryterium dotyczy spełnienia warunku III </w:t>
            </w:r>
            <w:r w:rsidR="00E11C6B" w:rsidRPr="003278B5">
              <w:rPr>
                <w:rFonts w:ascii="Open Sans Light" w:hAnsi="Open Sans Light" w:cs="Arial"/>
                <w:sz w:val="18"/>
                <w:szCs w:val="18"/>
              </w:rPr>
              <w:t>zgodności z dyrektywą ściekową, określonego w KPOŚK</w:t>
            </w:r>
            <w:r w:rsidR="00E11C6B" w:rsidRPr="003278B5" w:rsidDel="00E11C6B">
              <w:rPr>
                <w:rFonts w:ascii="Open Sans Light" w:hAnsi="Open Sans Light" w:cs="Arial"/>
                <w:sz w:val="18"/>
                <w:szCs w:val="18"/>
              </w:rPr>
              <w:t xml:space="preserve">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poprzez realizację projektów, których zakres obejmuje budowę, rozbudowę, modernizację lub likwidację (połączoną z przekierowaniem ścieków do oczyszczalni spełniającej wymogi rozporządzenia) oczyszczalni ścieków, której celem jest zapewnienie, iż wszystkie oczyszczalnie ścieków obsługujące aglomerację, będą oczyszczały ścieki zgodnie z wymogami rozporządzenia Ministra Gospodarki Morskiej i Żeglugi Śródlądowej w sprawie substancji szczególnie szkodliwych dla środowiska wodnego oraz warunków, jakie należy spełnić przy wprowadzaniu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do wód lub do ziemi ścieków, a także przy odprowadzaniu wód opadowych lub roztopowych do wód lub urządzeń wodnych, oraz w sprawie substancji szczególnie szkodliwych dla środowiska wodnego.</w:t>
            </w:r>
          </w:p>
        </w:tc>
        <w:tc>
          <w:tcPr>
            <w:tcW w:w="6237" w:type="dxa"/>
          </w:tcPr>
          <w:p w14:paraId="19BEE1FA" w14:textId="77777777" w:rsidR="009C2D67" w:rsidRPr="003278B5" w:rsidRDefault="009C2D67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80 pkt – jeżeli projekt obejmuje zakresem budowę, rozbudowę, modernizację lub likwidację (połączoną z przekierowaniem ścieków do oczyszczalni spełniającej wymogi rozporządzenia) oczyszczalni ścieków mającą na celu zapewnienie oczyszczania ścieków zgodnie z wymogami rozporządzenia, co doprowadzi do spełnienia przez aglomerację wymogów dyrektywy w zakresie standardów oczyszczania (zgodność z 4 i 5.2 dyrektywy, spełnienie warunku III zgodnie z KPOŚK);</w:t>
            </w:r>
          </w:p>
          <w:p w14:paraId="4AEFF29C" w14:textId="77777777" w:rsidR="009C2D67" w:rsidRPr="003278B5" w:rsidRDefault="009C2D67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40 pkt – jeżeli projekt obejmuje zakresem budowę, rozbudowę, modernizację oczyszczalni ścieków lub likwidację (połączoną z przekierowaniem ścieków do oczyszczalni spełniającej wymogi rozporządzenia), mającą na celu zapewnienie oczyszczania ścieków zgodnie z wymogami rozporządzenia, jednak aglomeracja nadal nie spełnia wymogów dyrektywy w zakresie standardów oczyszczania (brak zgodności z art. 4 i 5.2 dyrektywy i warunkiem III zgodnie z KPOŚK).</w:t>
            </w:r>
          </w:p>
          <w:p w14:paraId="723B2CC0" w14:textId="77777777" w:rsidR="009C2D67" w:rsidRPr="003278B5" w:rsidRDefault="009C2D67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0 pkt. -w przypadku braku spełnienia któregokolwiek ze wskazanych wyżej warunków oceny lub gdy projekt nie obejmuje zakresem budowy, rozbudowy, modernizacji lub likwidacji oczyszczalni ścieków.</w:t>
            </w:r>
          </w:p>
          <w:p w14:paraId="6330B909" w14:textId="77777777" w:rsidR="00F86191" w:rsidRPr="003278B5" w:rsidRDefault="00F86191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Punkty za poszczególne elementy podlegające ocenie w ramach przedmiotowego kryterium nie sumują się.</w:t>
            </w:r>
          </w:p>
          <w:p w14:paraId="5F376EB3" w14:textId="77777777" w:rsidR="00F86191" w:rsidRPr="003278B5" w:rsidRDefault="009C2D67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Projekt obejmujący więcej niż jedną aglomerację, może uzyskać maksymalną liczbę punktów (80 pkt), jeżeli po jego zakończeniu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 xml:space="preserve">przynajmniej jedna z  aglomeracji objętych projektem spełni warunek III zgodnie z KPOŚK. W pozostałych przypadkach, gdy przynajmniej w jednej z aglomeracji realizowana jest budowa, rozbudowa, modernizacja oczyszczalni ścieków obejmująca zadania wynikające z konieczności dostosowania  jej do wymogów dyrektywy w zakresie standardów oczyszczania, ale realizacja projektu nadal nie doprowadzi do pełnej zgodności </w:t>
            </w:r>
            <w:r w:rsidR="00F86191" w:rsidRPr="003278B5">
              <w:rPr>
                <w:rFonts w:ascii="Open Sans Light" w:hAnsi="Open Sans Light" w:cs="Arial"/>
                <w:sz w:val="18"/>
                <w:szCs w:val="18"/>
              </w:rPr>
              <w:t xml:space="preserve">tej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aglomeracji z warunkiem III – projekt otrzymuje 40 punktów.</w:t>
            </w:r>
          </w:p>
          <w:p w14:paraId="6C9EC076" w14:textId="77777777" w:rsidR="009C2D67" w:rsidRDefault="009C2D67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Do wyliczenia maksymalnej liczby punktów nie uwzględnia się aglomeracji, które w dniu złożenia wniosku spełniają warunek III.</w:t>
            </w:r>
          </w:p>
          <w:p w14:paraId="214A5D3D" w14:textId="77777777" w:rsidR="007D654E" w:rsidRPr="003278B5" w:rsidRDefault="007D654E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7F48BC">
              <w:rPr>
                <w:rFonts w:ascii="Open Sans" w:hAnsi="Open Sans"/>
                <w:b/>
                <w:bCs/>
                <w:sz w:val="20"/>
              </w:rPr>
              <w:t>Kryterium rozstrzygające.</w:t>
            </w:r>
          </w:p>
        </w:tc>
        <w:tc>
          <w:tcPr>
            <w:tcW w:w="1134" w:type="dxa"/>
          </w:tcPr>
          <w:p w14:paraId="3CE7B611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</w:p>
        </w:tc>
        <w:tc>
          <w:tcPr>
            <w:tcW w:w="2976" w:type="dxa"/>
          </w:tcPr>
          <w:p w14:paraId="204079E7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</w:p>
        </w:tc>
      </w:tr>
      <w:tr w:rsidR="009C2D67" w:rsidRPr="003278B5" w14:paraId="5ED02F98" w14:textId="77777777" w:rsidTr="00CB2622">
        <w:tc>
          <w:tcPr>
            <w:tcW w:w="567" w:type="dxa"/>
            <w:tcBorders>
              <w:bottom w:val="single" w:sz="4" w:space="0" w:color="auto"/>
            </w:tcBorders>
          </w:tcPr>
          <w:p w14:paraId="35CD50C7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0A0A44F" w14:textId="77777777" w:rsidR="009C2D67" w:rsidRPr="003278B5" w:rsidRDefault="009C2D67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nr 6 -Budowa kanalizacji sanitarnej – liczba</w:t>
            </w:r>
            <w:r w:rsidRPr="003278B5">
              <w:rPr>
                <w:rFonts w:ascii="Open Sans Light" w:hAnsi="Open Sans Light"/>
              </w:rPr>
              <w:t xml:space="preserve">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RLM, która w wyniku realizacji projektu zostanie przyłączona do wybudowanej kanalizacji (jedynie nowo przyłączona RLM)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DCC1F26" w14:textId="77777777" w:rsidR="009C2D67" w:rsidRPr="003278B5" w:rsidRDefault="009C2D67" w:rsidP="00E85E51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Stosunek RLM przyłączonej w wyniku realizacji projektu, do</w:t>
            </w:r>
            <w:r w:rsidRPr="003278B5">
              <w:rPr>
                <w:rFonts w:ascii="Open Sans Light" w:hAnsi="Open Sans Light"/>
              </w:rPr>
              <w:t xml:space="preserve">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całkowitej nieskanalizowanej liczby RLM w aglomeracji.</w:t>
            </w:r>
          </w:p>
          <w:p w14:paraId="2AD3D457" w14:textId="77777777" w:rsidR="009C2D67" w:rsidRPr="003278B5" w:rsidRDefault="009C2D67" w:rsidP="00E85E51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dotyczy jedynie nowo przyłączonej RLM w ramach projektu.</w:t>
            </w:r>
          </w:p>
          <w:p w14:paraId="1B85D7C9" w14:textId="77777777" w:rsidR="009C2D67" w:rsidRPr="003278B5" w:rsidRDefault="009C2D67" w:rsidP="00E85E51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8B40D1D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Jeżeli udział [%] RLM, przyłączonej do wybudowanej w ramach projektu sieci kanalizacyjnej, w całkowitej nieskanalizowanej liczbie</w:t>
            </w:r>
            <w:r w:rsidRPr="003278B5">
              <w:rPr>
                <w:rFonts w:ascii="Open Sans Light" w:hAnsi="Open Sans Light"/>
              </w:rPr>
              <w:t xml:space="preserve">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RLM w aglomeracji</w:t>
            </w:r>
            <w:r w:rsidR="00DF645E" w:rsidRPr="003278B5">
              <w:rPr>
                <w:rFonts w:ascii="Open Sans Light" w:hAnsi="Open Sans Light" w:cs="Arial"/>
                <w:sz w:val="18"/>
                <w:szCs w:val="18"/>
              </w:rPr>
              <w:t xml:space="preserve"> (określonej na podstawie aktualizacji KPOŚK </w:t>
            </w:r>
            <w:r w:rsidR="00F52C1B" w:rsidRPr="003278B5">
              <w:rPr>
                <w:rFonts w:ascii="Open Sans Light" w:hAnsi="Open Sans Light" w:cs="Arial"/>
                <w:sz w:val="18"/>
                <w:szCs w:val="18"/>
              </w:rPr>
              <w:t>(</w:t>
            </w:r>
            <w:r w:rsidR="00DF645E" w:rsidRPr="003278B5">
              <w:rPr>
                <w:rFonts w:ascii="Open Sans Light" w:hAnsi="Open Sans Light" w:cs="Arial"/>
                <w:sz w:val="18"/>
                <w:szCs w:val="18"/>
              </w:rPr>
              <w:t>obowiązującej w dniu złożenia wniosku</w:t>
            </w:r>
            <w:r w:rsidR="00F52C1B" w:rsidRPr="003278B5">
              <w:rPr>
                <w:rFonts w:ascii="Open Sans Light" w:hAnsi="Open Sans Light" w:cs="Arial"/>
                <w:sz w:val="18"/>
                <w:szCs w:val="18"/>
              </w:rPr>
              <w:t>)</w:t>
            </w:r>
            <w:r w:rsidR="00DF645E" w:rsidRPr="003278B5">
              <w:rPr>
                <w:rFonts w:ascii="Open Sans Light" w:hAnsi="Open Sans Light" w:cs="Arial"/>
                <w:sz w:val="18"/>
                <w:szCs w:val="18"/>
                <w:vertAlign w:val="superscript"/>
              </w:rPr>
              <w:t>1</w:t>
            </w:r>
            <w:r w:rsidR="00F52C1B" w:rsidRPr="003278B5">
              <w:rPr>
                <w:rFonts w:ascii="Open Sans Light" w:hAnsi="Open Sans Light" w:cs="Arial"/>
                <w:sz w:val="18"/>
                <w:szCs w:val="18"/>
              </w:rPr>
              <w:t xml:space="preserve"> </w:t>
            </w:r>
            <w:r w:rsidR="003A0C40" w:rsidRPr="003278B5">
              <w:rPr>
                <w:rFonts w:ascii="Open Sans Light" w:hAnsi="Open Sans Light" w:cs="Arial"/>
                <w:sz w:val="18"/>
                <w:szCs w:val="18"/>
              </w:rPr>
              <w:t>– kolumna „RLM aglomeracji nieskanalizowana – aktualnie”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 wynosi (w zaokrągleniu do pełnego procenta):</w:t>
            </w:r>
          </w:p>
          <w:p w14:paraId="2E67FC3C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>81 % - 100 % - 30 pkt;</w:t>
            </w:r>
          </w:p>
          <w:p w14:paraId="66445672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>61 % - 80 % - 28 pkt;</w:t>
            </w:r>
          </w:p>
          <w:p w14:paraId="66B54CA5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>41 % - 60 % - 25 pkt;</w:t>
            </w:r>
          </w:p>
          <w:p w14:paraId="544A5219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 xml:space="preserve">21 % - 40 % - 23 pkt;  </w:t>
            </w:r>
          </w:p>
          <w:p w14:paraId="423C6219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 xml:space="preserve">3 % - 20 % - 20 pkt;  </w:t>
            </w:r>
          </w:p>
          <w:p w14:paraId="218C2AD5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 xml:space="preserve">0 % - 2 % - 0 pkt. </w:t>
            </w:r>
          </w:p>
          <w:p w14:paraId="1953E760" w14:textId="77777777" w:rsidR="009C2D67" w:rsidRPr="003278B5" w:rsidRDefault="009C2D67" w:rsidP="00CB2622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W przypadku, gdy projekt nie obejmuje zakresem budowy sieci kanalizacji sanitarnej </w:t>
            </w:r>
            <w:r w:rsidR="00E46813" w:rsidRPr="003278B5">
              <w:rPr>
                <w:rFonts w:ascii="Open Sans Light" w:hAnsi="Open Sans Light" w:cs="Arial"/>
                <w:sz w:val="18"/>
                <w:szCs w:val="18"/>
              </w:rPr>
              <w:t xml:space="preserve">-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otrzymuje 0 punktów.</w:t>
            </w:r>
          </w:p>
          <w:p w14:paraId="42E017FB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 xml:space="preserve">Projekt, którego zakres realizowany jest jednocześnie na obszarze kliku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 xml:space="preserve">aglomeracji, liczba przyznanych punktów dla całego projektu jest przyznawana na podstawie wyniku dla aglomeracji, która na skutek realizacji projektu wykaże najwyższy procentowy udział RLM przyłączonej do wybudowanej w ramach projektu sieci kanalizacyjnej, w całkowitej nieskanalizowanej liczbie RLM w aglomeracji określonej w </w:t>
            </w:r>
            <w:r w:rsidR="00CE2836" w:rsidRPr="003278B5">
              <w:rPr>
                <w:rFonts w:ascii="Open Sans Light" w:hAnsi="Open Sans Light" w:cs="Arial"/>
                <w:sz w:val="18"/>
                <w:szCs w:val="18"/>
              </w:rPr>
              <w:t xml:space="preserve">KPOŚK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– kolumna „RLM aglomeracji nieskanalizowana – aktualnie”. Punkty uzyskane przez poszczególne aglomeracje objęte projektem  nie sumują się.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04C450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3EBF985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b/>
                <w:sz w:val="18"/>
                <w:szCs w:val="18"/>
              </w:rPr>
            </w:pPr>
          </w:p>
        </w:tc>
      </w:tr>
      <w:tr w:rsidR="009C2D67" w:rsidRPr="003278B5" w14:paraId="0B24AF99" w14:textId="77777777" w:rsidTr="00CB2622">
        <w:tc>
          <w:tcPr>
            <w:tcW w:w="567" w:type="dxa"/>
          </w:tcPr>
          <w:p w14:paraId="73BEB09C" w14:textId="77777777" w:rsidR="009C2D67" w:rsidRPr="003278B5" w:rsidRDefault="009C2D67" w:rsidP="00E85E51">
            <w:pPr>
              <w:widowControl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7</w:t>
            </w:r>
          </w:p>
        </w:tc>
        <w:tc>
          <w:tcPr>
            <w:tcW w:w="1560" w:type="dxa"/>
          </w:tcPr>
          <w:p w14:paraId="758A3B11" w14:textId="77777777" w:rsidR="009C2D67" w:rsidRPr="003278B5" w:rsidRDefault="009C2D67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Kryterium nr 7 -Gotowość projektu – gotowość do realizacji inwestycji</w:t>
            </w:r>
          </w:p>
        </w:tc>
        <w:tc>
          <w:tcPr>
            <w:tcW w:w="2977" w:type="dxa"/>
          </w:tcPr>
          <w:p w14:paraId="5308F8AE" w14:textId="77777777" w:rsidR="009C2D67" w:rsidRPr="003278B5" w:rsidRDefault="009C2D67" w:rsidP="00E85E51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Udział procentowy wartości zadań inwestycyjnych, dla których dokonano zgłoszenia robót budowlanych lub posiadających pozwolenia na budowę lub posiadających Program Funkcjonalno-Użytkowy (wg warunków kontraktowych „Żółtej Książki FIDIC” lub równoważnej), w wartości wszystkich zadań wymagających pozwoleń na budowę lub zgłoszeń.</w:t>
            </w:r>
          </w:p>
        </w:tc>
        <w:tc>
          <w:tcPr>
            <w:tcW w:w="6237" w:type="dxa"/>
          </w:tcPr>
          <w:p w14:paraId="1A390EA5" w14:textId="77777777" w:rsidR="009C2D67" w:rsidRPr="003278B5" w:rsidRDefault="009C2D67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Jeżeli stopień [%] przygotowania projektu do realizacji wynosi (w zaokrągleniu do pełnego procenta):</w:t>
            </w:r>
          </w:p>
          <w:p w14:paraId="19F384D8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>81 % - 100 % – 80 pkt;</w:t>
            </w:r>
          </w:p>
          <w:p w14:paraId="2E3C0F16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>61 % - 80 % – 72 pkt;</w:t>
            </w:r>
          </w:p>
          <w:p w14:paraId="511B96CF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>40 % - 60 % – 64 pkt;</w:t>
            </w:r>
          </w:p>
          <w:p w14:paraId="2A75588B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sz w:val="18"/>
                <w:szCs w:val="18"/>
              </w:rPr>
              <w:t>0 % - 39 %  – 0 pkt.</w:t>
            </w:r>
          </w:p>
          <w:p w14:paraId="72D2A210" w14:textId="77777777" w:rsidR="009C2D67" w:rsidRPr="00CB2622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b/>
                <w:bCs/>
                <w:sz w:val="18"/>
                <w:szCs w:val="18"/>
              </w:rPr>
            </w:pPr>
            <w:r w:rsidRPr="009C14FA">
              <w:rPr>
                <w:rFonts w:ascii="Open Sans Light" w:hAnsi="Open Sans Light" w:cs="Arial"/>
                <w:b/>
                <w:bCs/>
                <w:sz w:val="18"/>
                <w:szCs w:val="18"/>
              </w:rPr>
              <w:t>Kryterium rozstrzygające.</w:t>
            </w:r>
          </w:p>
        </w:tc>
        <w:tc>
          <w:tcPr>
            <w:tcW w:w="1134" w:type="dxa"/>
          </w:tcPr>
          <w:p w14:paraId="15A02A4A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14:paraId="3C8310B4" w14:textId="77777777" w:rsidR="009C2D67" w:rsidRPr="003278B5" w:rsidRDefault="009C2D67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b/>
                <w:sz w:val="18"/>
                <w:szCs w:val="18"/>
              </w:rPr>
            </w:pPr>
          </w:p>
        </w:tc>
      </w:tr>
      <w:tr w:rsidR="009C14FA" w:rsidRPr="003278B5" w14:paraId="15F27295" w14:textId="77777777" w:rsidTr="00CB2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12AC5" w14:textId="77777777" w:rsidR="009C14FA" w:rsidRPr="009C14FA" w:rsidRDefault="009C14FA" w:rsidP="00E85E51">
            <w:pPr>
              <w:widowControl w:val="0"/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8529" w14:textId="77777777" w:rsidR="009C14FA" w:rsidRPr="009C14FA" w:rsidRDefault="009C14FA" w:rsidP="00E85E51">
            <w:pPr>
              <w:widowControl w:val="0"/>
              <w:tabs>
                <w:tab w:val="left" w:pos="0"/>
              </w:tabs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t>Budowa kanalizacji sanitarnej – jednostkowy rezultat projektu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3536" w14:textId="77777777" w:rsidR="009C14FA" w:rsidRPr="00E85E51" w:rsidRDefault="009C14FA" w:rsidP="009E55C2">
            <w:pPr>
              <w:spacing w:after="120" w:line="276" w:lineRule="auto"/>
              <w:ind w:left="2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t>Stosunek liczby osób nowo podłączonych (w określonym w umowie o dofinansowanie terminie na rozliczenie efektów ekologicznych projektu) na 1 kilometr sieci kanalizacyjnej budowanej w ramach projektu.</w:t>
            </w:r>
          </w:p>
          <w:p w14:paraId="49751EC0" w14:textId="77777777" w:rsidR="009C14FA" w:rsidRPr="009C14FA" w:rsidRDefault="009C14FA" w:rsidP="00E85E51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lastRenderedPageBreak/>
              <w:t>Kryterium stosowane wyłącznie w przypadku projektów, których zakres przewiduje budowę nowej sieci kanalizacyjnej.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8631" w14:textId="77777777" w:rsidR="009C14FA" w:rsidRPr="00E85E51" w:rsidRDefault="009C14FA" w:rsidP="009E55C2">
            <w:pPr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lastRenderedPageBreak/>
              <w:t>Jeżeli jednostkowy rezultat projektu [osoby/km]  wynosi (w zaokrągleniu do jedności):</w:t>
            </w:r>
          </w:p>
          <w:p w14:paraId="2D0DC27F" w14:textId="77777777" w:rsidR="009C14FA" w:rsidRPr="00E85E51" w:rsidRDefault="009C14FA" w:rsidP="009E55C2">
            <w:pPr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t>≥ 120 – 10 pkt</w:t>
            </w:r>
          </w:p>
          <w:p w14:paraId="03EB3A90" w14:textId="77777777" w:rsidR="009C14FA" w:rsidRPr="00E85E51" w:rsidRDefault="009C14FA" w:rsidP="009E55C2">
            <w:pPr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t>110 do 119 – 9 pkt</w:t>
            </w:r>
          </w:p>
          <w:p w14:paraId="7232512B" w14:textId="77777777" w:rsidR="009C14FA" w:rsidRPr="00E85E51" w:rsidRDefault="009C14FA" w:rsidP="009E55C2">
            <w:pPr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t>100 do 109 – 8 pkt</w:t>
            </w:r>
          </w:p>
          <w:p w14:paraId="0F60DAEE" w14:textId="77777777" w:rsidR="009C14FA" w:rsidRPr="00E85E51" w:rsidRDefault="009C14FA" w:rsidP="009E55C2">
            <w:pPr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t>90 do 99 – 7 pkt</w:t>
            </w:r>
          </w:p>
          <w:p w14:paraId="11BB9D21" w14:textId="77777777" w:rsidR="009C14FA" w:rsidRPr="00E85E51" w:rsidRDefault="009C14FA" w:rsidP="009E55C2">
            <w:pPr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lastRenderedPageBreak/>
              <w:t>80 do 89 – 6 pkt</w:t>
            </w:r>
          </w:p>
          <w:p w14:paraId="6587A519" w14:textId="77777777" w:rsidR="009C14FA" w:rsidRPr="009C14FA" w:rsidRDefault="009C14FA" w:rsidP="00E85E51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Open Sans Light"/>
                <w:sz w:val="18"/>
                <w:szCs w:val="22"/>
              </w:rPr>
            </w:pPr>
            <w:r w:rsidRPr="00E85E51">
              <w:rPr>
                <w:rFonts w:ascii="Open Sans Light" w:hAnsi="Open Sans Light" w:cs="Open Sans Light"/>
                <w:sz w:val="18"/>
                <w:szCs w:val="22"/>
              </w:rPr>
              <w:t>&lt; 80 – 0 pkt</w:t>
            </w:r>
          </w:p>
        </w:tc>
        <w:tc>
          <w:tcPr>
            <w:tcW w:w="1134" w:type="dxa"/>
          </w:tcPr>
          <w:p w14:paraId="1FD58D12" w14:textId="77777777" w:rsidR="009C14FA" w:rsidRPr="009C14FA" w:rsidRDefault="009C14FA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22"/>
              </w:rPr>
            </w:pPr>
          </w:p>
        </w:tc>
        <w:tc>
          <w:tcPr>
            <w:tcW w:w="2976" w:type="dxa"/>
          </w:tcPr>
          <w:p w14:paraId="5E91AEF9" w14:textId="77777777" w:rsidR="009C14FA" w:rsidRPr="009C14FA" w:rsidRDefault="009C14FA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22"/>
              </w:rPr>
            </w:pPr>
          </w:p>
        </w:tc>
      </w:tr>
      <w:tr w:rsidR="009C14FA" w:rsidRPr="003278B5" w14:paraId="30C0C6C8" w14:textId="77777777" w:rsidTr="00CB2622">
        <w:tc>
          <w:tcPr>
            <w:tcW w:w="11341" w:type="dxa"/>
            <w:gridSpan w:val="4"/>
            <w:tcBorders>
              <w:bottom w:val="single" w:sz="4" w:space="0" w:color="auto"/>
            </w:tcBorders>
          </w:tcPr>
          <w:p w14:paraId="112275BB" w14:textId="77777777" w:rsidR="009C14FA" w:rsidRPr="003278B5" w:rsidRDefault="009C14FA" w:rsidP="00E85E51">
            <w:pPr>
              <w:widowControl w:val="0"/>
              <w:tabs>
                <w:tab w:val="right" w:pos="11125"/>
              </w:tabs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MAKSYMALNA SUMA PUNKTÓW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20B31DD" w14:textId="77777777" w:rsidR="009C14FA" w:rsidRPr="003278B5" w:rsidRDefault="009C14FA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370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3284EE90" w14:textId="77777777" w:rsidR="009C14FA" w:rsidRPr="003278B5" w:rsidRDefault="009C14FA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b/>
                <w:sz w:val="18"/>
                <w:szCs w:val="18"/>
              </w:rPr>
            </w:pPr>
          </w:p>
        </w:tc>
      </w:tr>
      <w:tr w:rsidR="009C14FA" w:rsidRPr="003278B5" w14:paraId="23B35AC4" w14:textId="77777777" w:rsidTr="00CB2622">
        <w:tc>
          <w:tcPr>
            <w:tcW w:w="11341" w:type="dxa"/>
            <w:gridSpan w:val="4"/>
            <w:tcBorders>
              <w:bottom w:val="single" w:sz="4" w:space="0" w:color="auto"/>
            </w:tcBorders>
          </w:tcPr>
          <w:p w14:paraId="6E96B088" w14:textId="77777777" w:rsidR="009C14FA" w:rsidRPr="003278B5" w:rsidRDefault="009C14FA" w:rsidP="00E85E51">
            <w:pPr>
              <w:widowControl w:val="0"/>
              <w:tabs>
                <w:tab w:val="right" w:pos="11125"/>
              </w:tabs>
              <w:autoSpaceDE w:val="0"/>
              <w:autoSpaceDN w:val="0"/>
              <w:adjustRightInd w:val="0"/>
              <w:spacing w:after="120" w:line="276" w:lineRule="auto"/>
              <w:rPr>
                <w:rFonts w:ascii="Open Sans Light" w:hAnsi="Open Sans Light" w:cs="Arial"/>
                <w:b/>
                <w:bCs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bCs/>
                <w:sz w:val="18"/>
                <w:szCs w:val="18"/>
              </w:rPr>
              <w:tab/>
              <w:t>SUMA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FF555B" w14:textId="77777777" w:rsidR="009C14FA" w:rsidRPr="003278B5" w:rsidRDefault="009C14FA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F7A58F4" w14:textId="77777777" w:rsidR="009C14FA" w:rsidRPr="003278B5" w:rsidRDefault="009C14FA" w:rsidP="00E85E51">
            <w:pPr>
              <w:widowControl w:val="0"/>
              <w:spacing w:after="120" w:line="276" w:lineRule="auto"/>
              <w:jc w:val="center"/>
              <w:rPr>
                <w:rFonts w:ascii="Open Sans Light" w:hAnsi="Open Sans Light" w:cs="Arial"/>
                <w:b/>
                <w:sz w:val="18"/>
                <w:szCs w:val="18"/>
              </w:rPr>
            </w:pPr>
          </w:p>
        </w:tc>
      </w:tr>
    </w:tbl>
    <w:p w14:paraId="32ADC7AD" w14:textId="77777777" w:rsidR="00017F3E" w:rsidRPr="00B910B3" w:rsidRDefault="00017F3E" w:rsidP="00CB2622">
      <w:pPr>
        <w:spacing w:before="360" w:line="276" w:lineRule="auto"/>
        <w:rPr>
          <w:rFonts w:ascii="Open Sans Light" w:hAnsi="Open Sans Light" w:cs="Arial"/>
          <w:sz w:val="20"/>
          <w:szCs w:val="20"/>
        </w:rPr>
      </w:pPr>
      <w:bookmarkStart w:id="0" w:name="_Hlk160140889"/>
      <w:r w:rsidRPr="00B910B3">
        <w:rPr>
          <w:rFonts w:ascii="Open Sans Light" w:hAnsi="Open Sans Light" w:cs="Arial"/>
          <w:b/>
          <w:sz w:val="20"/>
          <w:szCs w:val="20"/>
        </w:rPr>
        <w:t>D</w:t>
      </w:r>
      <w:r w:rsidR="00FF18A1" w:rsidRPr="00B910B3">
        <w:rPr>
          <w:rFonts w:ascii="Open Sans Light" w:hAnsi="Open Sans Light" w:cs="Arial"/>
          <w:b/>
          <w:sz w:val="20"/>
          <w:szCs w:val="20"/>
        </w:rPr>
        <w:t>ecyzja</w:t>
      </w:r>
      <w:r w:rsidR="000B3F24">
        <w:rPr>
          <w:rFonts w:ascii="Open Sans Light" w:hAnsi="Open Sans Light" w:cs="Arial"/>
          <w:b/>
          <w:sz w:val="20"/>
          <w:szCs w:val="20"/>
        </w:rPr>
        <w:t xml:space="preserve"> </w:t>
      </w:r>
      <w:r w:rsidR="001A2F88">
        <w:rPr>
          <w:rFonts w:ascii="Open Sans Light" w:hAnsi="Open Sans Light" w:cs="Arial"/>
          <w:b/>
          <w:sz w:val="20"/>
          <w:szCs w:val="20"/>
        </w:rPr>
        <w:t>(</w:t>
      </w:r>
      <w:r w:rsidR="001A2F88" w:rsidRPr="001A2F88">
        <w:rPr>
          <w:rFonts w:ascii="Open Sans Light" w:hAnsi="Open Sans Light" w:cs="Arial"/>
          <w:b/>
          <w:sz w:val="20"/>
          <w:szCs w:val="20"/>
        </w:rPr>
        <w:t>bez uwag/zwrot do wnioskodawcy z prośbą o uzupełnieni</w:t>
      </w:r>
      <w:r w:rsidR="001A2F88">
        <w:rPr>
          <w:rFonts w:ascii="Open Sans Light" w:hAnsi="Open Sans Light" w:cs="Arial"/>
          <w:b/>
          <w:sz w:val="20"/>
          <w:szCs w:val="20"/>
        </w:rPr>
        <w:t>e)</w:t>
      </w:r>
      <w:r w:rsidR="000B3F24" w:rsidRPr="000B3F24">
        <w:rPr>
          <w:rFonts w:ascii="Open Sans Light" w:hAnsi="Open Sans Light" w:cs="Arial"/>
          <w:b/>
          <w:sz w:val="20"/>
          <w:szCs w:val="20"/>
        </w:rPr>
        <w:t xml:space="preserve">: </w:t>
      </w:r>
      <w:r w:rsidR="000B3F24">
        <w:rPr>
          <w:rFonts w:ascii="Open Sans Light" w:hAnsi="Open Sans Light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4FD213B6" w14:textId="77777777" w:rsidR="00017F3E" w:rsidRPr="00B910B3" w:rsidRDefault="00017F3E" w:rsidP="00E85E51">
      <w:pPr>
        <w:spacing w:before="240" w:line="276" w:lineRule="auto"/>
        <w:rPr>
          <w:rFonts w:ascii="Open Sans Light" w:hAnsi="Open Sans Light" w:cs="Arial"/>
          <w:b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 xml:space="preserve">Imię i nazwisko osoby oceniającej: </w:t>
      </w:r>
      <w:r w:rsidR="000B3F24">
        <w:rPr>
          <w:rFonts w:ascii="Open Sans Light" w:hAnsi="Open Sans Light" w:cs="Arial"/>
          <w:b/>
          <w:sz w:val="20"/>
          <w:szCs w:val="20"/>
        </w:rPr>
        <w:t>……………………………………………</w:t>
      </w:r>
    </w:p>
    <w:p w14:paraId="494AFB1E" w14:textId="77777777" w:rsidR="00017F3E" w:rsidRPr="00B910B3" w:rsidRDefault="000B3F24" w:rsidP="00E85E51">
      <w:pPr>
        <w:spacing w:line="276" w:lineRule="auto"/>
        <w:rPr>
          <w:rFonts w:ascii="Open Sans Light" w:hAnsi="Open Sans Light" w:cs="Arial"/>
          <w:b/>
          <w:sz w:val="20"/>
          <w:szCs w:val="20"/>
        </w:rPr>
      </w:pPr>
      <w:r>
        <w:rPr>
          <w:rFonts w:ascii="Open Sans Light" w:hAnsi="Open Sans Light" w:cs="Arial"/>
          <w:b/>
          <w:sz w:val="20"/>
          <w:szCs w:val="20"/>
        </w:rPr>
        <w:t>Data : ………………………………………………</w:t>
      </w:r>
    </w:p>
    <w:p w14:paraId="5C908B1C" w14:textId="77777777" w:rsidR="00017F3E" w:rsidRPr="00B910B3" w:rsidRDefault="00017F3E" w:rsidP="00E85E51">
      <w:pPr>
        <w:spacing w:line="276" w:lineRule="auto"/>
        <w:rPr>
          <w:rFonts w:ascii="Open Sans Light" w:hAnsi="Open Sans Light" w:cs="Arial"/>
          <w:b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>Podpi</w:t>
      </w:r>
      <w:r w:rsidR="000B3F24">
        <w:rPr>
          <w:rFonts w:ascii="Open Sans Light" w:hAnsi="Open Sans Light" w:cs="Arial"/>
          <w:b/>
          <w:sz w:val="20"/>
          <w:szCs w:val="20"/>
        </w:rPr>
        <w:t>s: …………………………………………………………………………………………</w:t>
      </w:r>
    </w:p>
    <w:p w14:paraId="30358983" w14:textId="77777777" w:rsidR="00017F3E" w:rsidRPr="00B910B3" w:rsidRDefault="00017F3E" w:rsidP="00E85E51">
      <w:pPr>
        <w:spacing w:before="240" w:line="276" w:lineRule="auto"/>
        <w:rPr>
          <w:rFonts w:ascii="Open Sans Light" w:hAnsi="Open Sans Light" w:cs="Arial"/>
          <w:b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 xml:space="preserve">Imię i nazwisko osoby </w:t>
      </w:r>
      <w:r w:rsidR="00670B46">
        <w:rPr>
          <w:rFonts w:ascii="Open Sans Light" w:hAnsi="Open Sans Light" w:cs="Arial"/>
          <w:b/>
          <w:sz w:val="20"/>
          <w:szCs w:val="20"/>
        </w:rPr>
        <w:t xml:space="preserve">oceniającej i </w:t>
      </w:r>
      <w:r w:rsidR="00C33F11">
        <w:rPr>
          <w:rFonts w:ascii="Open Sans Light" w:hAnsi="Open Sans Light" w:cs="Arial"/>
          <w:b/>
          <w:sz w:val="20"/>
          <w:szCs w:val="20"/>
        </w:rPr>
        <w:t>akceptującej</w:t>
      </w:r>
      <w:r w:rsidR="000B3F24">
        <w:rPr>
          <w:rFonts w:ascii="Open Sans Light" w:hAnsi="Open Sans Light" w:cs="Arial"/>
          <w:b/>
          <w:sz w:val="20"/>
          <w:szCs w:val="20"/>
        </w:rPr>
        <w:t>: …………………………………………</w:t>
      </w:r>
    </w:p>
    <w:p w14:paraId="10E9465A" w14:textId="77777777" w:rsidR="00017F3E" w:rsidRPr="00B910B3" w:rsidRDefault="000B3F24" w:rsidP="00E85E51">
      <w:pPr>
        <w:spacing w:line="276" w:lineRule="auto"/>
        <w:rPr>
          <w:rFonts w:ascii="Open Sans Light" w:hAnsi="Open Sans Light" w:cs="Arial"/>
          <w:b/>
          <w:sz w:val="20"/>
          <w:szCs w:val="20"/>
        </w:rPr>
      </w:pPr>
      <w:r>
        <w:rPr>
          <w:rFonts w:ascii="Open Sans Light" w:hAnsi="Open Sans Light" w:cs="Arial"/>
          <w:b/>
          <w:sz w:val="20"/>
          <w:szCs w:val="20"/>
        </w:rPr>
        <w:t>Data : ………………………………………………</w:t>
      </w:r>
    </w:p>
    <w:p w14:paraId="603CA36A" w14:textId="77777777" w:rsidR="00960F21" w:rsidRPr="000B3F24" w:rsidRDefault="00017F3E" w:rsidP="00E85E51">
      <w:pPr>
        <w:spacing w:line="276" w:lineRule="auto"/>
        <w:rPr>
          <w:rFonts w:ascii="Open Sans Light" w:hAnsi="Open Sans Light" w:cs="Arial"/>
          <w:b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>Podpi</w:t>
      </w:r>
      <w:r w:rsidR="000B3F24">
        <w:rPr>
          <w:rFonts w:ascii="Open Sans Light" w:hAnsi="Open Sans Light" w:cs="Arial"/>
          <w:b/>
          <w:sz w:val="20"/>
          <w:szCs w:val="20"/>
        </w:rPr>
        <w:t>s: ……………………………………………</w:t>
      </w:r>
    </w:p>
    <w:sectPr w:rsidR="00960F21" w:rsidRPr="000B3F24" w:rsidSect="00E90598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AC55B" w14:textId="77777777" w:rsidR="003C4784" w:rsidRDefault="003C4784">
      <w:r>
        <w:separator/>
      </w:r>
    </w:p>
  </w:endnote>
  <w:endnote w:type="continuationSeparator" w:id="0">
    <w:p w14:paraId="145513D1" w14:textId="77777777" w:rsidR="003C4784" w:rsidRDefault="003C4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A9583" w14:textId="77777777" w:rsidR="00257660" w:rsidRPr="00257660" w:rsidRDefault="00257660">
    <w:pPr>
      <w:pStyle w:val="Stopka"/>
      <w:jc w:val="right"/>
      <w:rPr>
        <w:rFonts w:ascii="Open Sans Light" w:hAnsi="Open Sans Light" w:cs="Open Sans Light"/>
      </w:rPr>
    </w:pPr>
    <w:r w:rsidRPr="00257660">
      <w:rPr>
        <w:rFonts w:ascii="Open Sans Light" w:hAnsi="Open Sans Light" w:cs="Open Sans Light"/>
      </w:rPr>
      <w:fldChar w:fldCharType="begin"/>
    </w:r>
    <w:r w:rsidRPr="00257660">
      <w:rPr>
        <w:rFonts w:ascii="Open Sans Light" w:hAnsi="Open Sans Light" w:cs="Open Sans Light"/>
      </w:rPr>
      <w:instrText>PAGE   \* MERGEFORMAT</w:instrText>
    </w:r>
    <w:r w:rsidRPr="00257660">
      <w:rPr>
        <w:rFonts w:ascii="Open Sans Light" w:hAnsi="Open Sans Light" w:cs="Open Sans Light"/>
      </w:rPr>
      <w:fldChar w:fldCharType="separate"/>
    </w:r>
    <w:r w:rsidRPr="00257660">
      <w:rPr>
        <w:rFonts w:ascii="Open Sans Light" w:hAnsi="Open Sans Light" w:cs="Open Sans Light"/>
      </w:rPr>
      <w:t>2</w:t>
    </w:r>
    <w:r w:rsidRPr="00257660">
      <w:rPr>
        <w:rFonts w:ascii="Open Sans Light" w:hAnsi="Open Sans Light" w:cs="Open Sans Light"/>
      </w:rPr>
      <w:fldChar w:fldCharType="end"/>
    </w:r>
  </w:p>
  <w:p w14:paraId="0BE6C74B" w14:textId="77777777" w:rsidR="00257660" w:rsidRDefault="002576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7CDC6" w14:textId="77777777" w:rsidR="00257660" w:rsidRPr="00257660" w:rsidRDefault="00257660">
    <w:pPr>
      <w:pStyle w:val="Stopka"/>
      <w:jc w:val="right"/>
      <w:rPr>
        <w:rFonts w:ascii="Open Sans Light" w:hAnsi="Open Sans Light" w:cs="Open Sans Light"/>
      </w:rPr>
    </w:pPr>
    <w:r w:rsidRPr="00257660">
      <w:rPr>
        <w:rFonts w:ascii="Open Sans Light" w:hAnsi="Open Sans Light" w:cs="Open Sans Light"/>
      </w:rPr>
      <w:fldChar w:fldCharType="begin"/>
    </w:r>
    <w:r w:rsidRPr="00257660">
      <w:rPr>
        <w:rFonts w:ascii="Open Sans Light" w:hAnsi="Open Sans Light" w:cs="Open Sans Light"/>
      </w:rPr>
      <w:instrText>PAGE   \* MERGEFORMAT</w:instrText>
    </w:r>
    <w:r w:rsidRPr="00257660">
      <w:rPr>
        <w:rFonts w:ascii="Open Sans Light" w:hAnsi="Open Sans Light" w:cs="Open Sans Light"/>
      </w:rPr>
      <w:fldChar w:fldCharType="separate"/>
    </w:r>
    <w:r w:rsidRPr="00257660">
      <w:rPr>
        <w:rFonts w:ascii="Open Sans Light" w:hAnsi="Open Sans Light" w:cs="Open Sans Light"/>
      </w:rPr>
      <w:t>2</w:t>
    </w:r>
    <w:r w:rsidRPr="00257660">
      <w:rPr>
        <w:rFonts w:ascii="Open Sans Light" w:hAnsi="Open Sans Light" w:cs="Open Sans Light"/>
      </w:rPr>
      <w:fldChar w:fldCharType="end"/>
    </w:r>
  </w:p>
  <w:p w14:paraId="489DE4B2" w14:textId="77777777" w:rsidR="00257660" w:rsidRPr="00257660" w:rsidRDefault="00257660">
    <w:pPr>
      <w:pStyle w:val="Stopka"/>
      <w:rPr>
        <w:rFonts w:ascii="Open Sans Light" w:hAnsi="Open Sans Light" w:cs="Open Sans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82DC5" w14:textId="77777777" w:rsidR="003C4784" w:rsidRDefault="003C4784">
      <w:r>
        <w:separator/>
      </w:r>
    </w:p>
  </w:footnote>
  <w:footnote w:type="continuationSeparator" w:id="0">
    <w:p w14:paraId="60F00873" w14:textId="77777777" w:rsidR="003C4784" w:rsidRDefault="003C4784">
      <w:r>
        <w:continuationSeparator/>
      </w:r>
    </w:p>
  </w:footnote>
  <w:footnote w:id="1">
    <w:p w14:paraId="2B50ABFE" w14:textId="77777777" w:rsidR="00542EF9" w:rsidRPr="00B910B3" w:rsidRDefault="00542EF9" w:rsidP="00542EF9">
      <w:pPr>
        <w:rPr>
          <w:rFonts w:ascii="Open Sans Light" w:hAnsi="Open Sans Light" w:cs="Arial"/>
          <w:sz w:val="18"/>
          <w:szCs w:val="18"/>
        </w:rPr>
      </w:pPr>
      <w:r w:rsidRPr="00B910B3">
        <w:rPr>
          <w:rStyle w:val="Odwoanieprzypisudolnego"/>
          <w:rFonts w:ascii="Open Sans Light" w:hAnsi="Open Sans Light"/>
          <w:sz w:val="18"/>
          <w:szCs w:val="18"/>
        </w:rPr>
        <w:footnoteRef/>
      </w:r>
      <w:r w:rsidRPr="00B910B3">
        <w:rPr>
          <w:rFonts w:ascii="Open Sans Light" w:hAnsi="Open Sans Light"/>
          <w:sz w:val="18"/>
          <w:szCs w:val="18"/>
        </w:rPr>
        <w:t xml:space="preserve"> </w:t>
      </w:r>
      <w:r w:rsidRPr="00B910B3">
        <w:rPr>
          <w:rFonts w:ascii="Open Sans Light" w:hAnsi="Open Sans Light" w:cs="Arial"/>
          <w:sz w:val="18"/>
          <w:szCs w:val="18"/>
        </w:rPr>
        <w:t>W sytuacji, gdy na skutek zmiany aglomeracji, dane będące podstawą do oceny spełnienia kryterium nie pokrywają się z danymi ujętymi w KPOŚK, ocena prowadzona będzie w oparciu o informacje przekazane wraz z wnioskiem o dofinansowanie, potwierdzone przez Państwowe Gospodarstwo Wodne Wody Polskie</w:t>
      </w:r>
    </w:p>
    <w:p w14:paraId="50E2F3D5" w14:textId="77777777" w:rsidR="00542EF9" w:rsidRDefault="00542EF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C0E92" w14:textId="32D80598" w:rsidR="00B66DC8" w:rsidRDefault="0081063E" w:rsidP="00CB2622">
    <w:pPr>
      <w:pStyle w:val="Nagwek"/>
      <w:spacing w:after="240"/>
      <w:jc w:val="center"/>
      <w:rPr>
        <w:noProof/>
      </w:rPr>
    </w:pPr>
    <w:r w:rsidRPr="00CA6400">
      <w:rPr>
        <w:noProof/>
      </w:rPr>
      <w:drawing>
        <wp:inline distT="0" distB="0" distL="0" distR="0" wp14:anchorId="6CEF16F5" wp14:editId="7B1013E4">
          <wp:extent cx="5760720" cy="571500"/>
          <wp:effectExtent l="0" t="0" r="0" b="0"/>
          <wp:docPr id="1" name="Obraz 3" descr="Tytuł: Logotypy — opis: 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Tytuł: Logotypy — opis: 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541" t="-19104" r="-1155" b="-19104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87690"/>
    <w:multiLevelType w:val="hybridMultilevel"/>
    <w:tmpl w:val="A6BCF0E6"/>
    <w:lvl w:ilvl="0" w:tplc="D464AA24">
      <w:start w:val="2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54285"/>
    <w:multiLevelType w:val="hybridMultilevel"/>
    <w:tmpl w:val="515801B4"/>
    <w:lvl w:ilvl="0" w:tplc="B3D47FB0">
      <w:start w:val="1"/>
      <w:numFmt w:val="decimal"/>
      <w:lvlText w:val="%1."/>
      <w:lvlJc w:val="left"/>
      <w:pPr>
        <w:ind w:left="36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 w15:restartNumberingAfterBreak="0">
    <w:nsid w:val="268336DB"/>
    <w:multiLevelType w:val="hybridMultilevel"/>
    <w:tmpl w:val="E188D150"/>
    <w:lvl w:ilvl="0" w:tplc="54940E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B4B09"/>
    <w:multiLevelType w:val="hybridMultilevel"/>
    <w:tmpl w:val="533CADA6"/>
    <w:lvl w:ilvl="0" w:tplc="9280C7E6">
      <w:start w:val="2"/>
      <w:numFmt w:val="decimal"/>
      <w:pStyle w:val="Styl1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F7D48"/>
    <w:multiLevelType w:val="hybridMultilevel"/>
    <w:tmpl w:val="F72CE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C6ADE"/>
    <w:multiLevelType w:val="hybridMultilevel"/>
    <w:tmpl w:val="1DB620FC"/>
    <w:lvl w:ilvl="0" w:tplc="CA803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87EC7"/>
    <w:multiLevelType w:val="multilevel"/>
    <w:tmpl w:val="26025F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FAB3271"/>
    <w:multiLevelType w:val="hybridMultilevel"/>
    <w:tmpl w:val="5A502A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B7943"/>
    <w:multiLevelType w:val="hybridMultilevel"/>
    <w:tmpl w:val="BE60D9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7580992">
    <w:abstractNumId w:val="4"/>
  </w:num>
  <w:num w:numId="2" w16cid:durableId="780876530">
    <w:abstractNumId w:val="8"/>
  </w:num>
  <w:num w:numId="3" w16cid:durableId="101658689">
    <w:abstractNumId w:val="2"/>
  </w:num>
  <w:num w:numId="4" w16cid:durableId="1830099143">
    <w:abstractNumId w:val="7"/>
  </w:num>
  <w:num w:numId="5" w16cid:durableId="993139580">
    <w:abstractNumId w:val="1"/>
  </w:num>
  <w:num w:numId="6" w16cid:durableId="324674761">
    <w:abstractNumId w:val="6"/>
  </w:num>
  <w:num w:numId="7" w16cid:durableId="1545100722">
    <w:abstractNumId w:val="5"/>
  </w:num>
  <w:num w:numId="8" w16cid:durableId="926230036">
    <w:abstractNumId w:val="0"/>
  </w:num>
  <w:num w:numId="9" w16cid:durableId="2085058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A1"/>
    <w:rsid w:val="00017F3E"/>
    <w:rsid w:val="0002403F"/>
    <w:rsid w:val="0003277C"/>
    <w:rsid w:val="00036399"/>
    <w:rsid w:val="00065A35"/>
    <w:rsid w:val="00065AC1"/>
    <w:rsid w:val="00066ED2"/>
    <w:rsid w:val="0006737F"/>
    <w:rsid w:val="00070215"/>
    <w:rsid w:val="00070A6E"/>
    <w:rsid w:val="00090EBF"/>
    <w:rsid w:val="00093D35"/>
    <w:rsid w:val="000A1805"/>
    <w:rsid w:val="000A37CB"/>
    <w:rsid w:val="000B3F24"/>
    <w:rsid w:val="000C3C0B"/>
    <w:rsid w:val="000C583D"/>
    <w:rsid w:val="001073C4"/>
    <w:rsid w:val="00115792"/>
    <w:rsid w:val="00126DE8"/>
    <w:rsid w:val="001339DC"/>
    <w:rsid w:val="001421C1"/>
    <w:rsid w:val="00143669"/>
    <w:rsid w:val="001532C9"/>
    <w:rsid w:val="00157D28"/>
    <w:rsid w:val="00165997"/>
    <w:rsid w:val="00173A8C"/>
    <w:rsid w:val="001854EA"/>
    <w:rsid w:val="00185BDF"/>
    <w:rsid w:val="00192616"/>
    <w:rsid w:val="001A2F88"/>
    <w:rsid w:val="001C3622"/>
    <w:rsid w:val="001D7008"/>
    <w:rsid w:val="001E4300"/>
    <w:rsid w:val="001F2B58"/>
    <w:rsid w:val="001F3BF7"/>
    <w:rsid w:val="001F475E"/>
    <w:rsid w:val="00204580"/>
    <w:rsid w:val="00207E5F"/>
    <w:rsid w:val="00224B7B"/>
    <w:rsid w:val="0022578B"/>
    <w:rsid w:val="00226577"/>
    <w:rsid w:val="0023489D"/>
    <w:rsid w:val="002367A3"/>
    <w:rsid w:val="002432F8"/>
    <w:rsid w:val="00257660"/>
    <w:rsid w:val="0026503B"/>
    <w:rsid w:val="002713DB"/>
    <w:rsid w:val="00277B9C"/>
    <w:rsid w:val="002924B5"/>
    <w:rsid w:val="002B7126"/>
    <w:rsid w:val="002C751B"/>
    <w:rsid w:val="002D7692"/>
    <w:rsid w:val="002E272B"/>
    <w:rsid w:val="002E2BAD"/>
    <w:rsid w:val="002F05BD"/>
    <w:rsid w:val="002F7CBA"/>
    <w:rsid w:val="003005E6"/>
    <w:rsid w:val="00322BCB"/>
    <w:rsid w:val="00324807"/>
    <w:rsid w:val="003278B5"/>
    <w:rsid w:val="00330AF6"/>
    <w:rsid w:val="00330CDA"/>
    <w:rsid w:val="00334DEC"/>
    <w:rsid w:val="00356652"/>
    <w:rsid w:val="00357CD7"/>
    <w:rsid w:val="003704B3"/>
    <w:rsid w:val="00374E77"/>
    <w:rsid w:val="00387476"/>
    <w:rsid w:val="003A0C40"/>
    <w:rsid w:val="003A1589"/>
    <w:rsid w:val="003A372B"/>
    <w:rsid w:val="003A6C09"/>
    <w:rsid w:val="003B35C3"/>
    <w:rsid w:val="003C3F6B"/>
    <w:rsid w:val="003C4784"/>
    <w:rsid w:val="003D6485"/>
    <w:rsid w:val="003E4B16"/>
    <w:rsid w:val="003F25A1"/>
    <w:rsid w:val="003F76FC"/>
    <w:rsid w:val="004359A6"/>
    <w:rsid w:val="00444B53"/>
    <w:rsid w:val="00456835"/>
    <w:rsid w:val="0046122B"/>
    <w:rsid w:val="004635AA"/>
    <w:rsid w:val="00466A16"/>
    <w:rsid w:val="00474F2B"/>
    <w:rsid w:val="00482E6D"/>
    <w:rsid w:val="00483899"/>
    <w:rsid w:val="004A679A"/>
    <w:rsid w:val="004B1E14"/>
    <w:rsid w:val="004B4E94"/>
    <w:rsid w:val="004B6703"/>
    <w:rsid w:val="004B6D7A"/>
    <w:rsid w:val="004B7C23"/>
    <w:rsid w:val="004C7437"/>
    <w:rsid w:val="004E615D"/>
    <w:rsid w:val="004F10E8"/>
    <w:rsid w:val="0050067C"/>
    <w:rsid w:val="00506370"/>
    <w:rsid w:val="00511931"/>
    <w:rsid w:val="00515737"/>
    <w:rsid w:val="00526A23"/>
    <w:rsid w:val="00541F41"/>
    <w:rsid w:val="00542EF9"/>
    <w:rsid w:val="00546C1F"/>
    <w:rsid w:val="00557C73"/>
    <w:rsid w:val="00557D15"/>
    <w:rsid w:val="005611FD"/>
    <w:rsid w:val="0057092B"/>
    <w:rsid w:val="00575902"/>
    <w:rsid w:val="00584897"/>
    <w:rsid w:val="005B1321"/>
    <w:rsid w:val="005D3FF5"/>
    <w:rsid w:val="005E0EE4"/>
    <w:rsid w:val="005F172C"/>
    <w:rsid w:val="00603561"/>
    <w:rsid w:val="00605DDA"/>
    <w:rsid w:val="006228CF"/>
    <w:rsid w:val="00623E05"/>
    <w:rsid w:val="00626105"/>
    <w:rsid w:val="00627144"/>
    <w:rsid w:val="006339CF"/>
    <w:rsid w:val="00645FBB"/>
    <w:rsid w:val="00647E77"/>
    <w:rsid w:val="00652C15"/>
    <w:rsid w:val="00653618"/>
    <w:rsid w:val="00670B46"/>
    <w:rsid w:val="00676E3C"/>
    <w:rsid w:val="006800CC"/>
    <w:rsid w:val="0068767B"/>
    <w:rsid w:val="006961FD"/>
    <w:rsid w:val="006A52C7"/>
    <w:rsid w:val="006B0AAB"/>
    <w:rsid w:val="006B436D"/>
    <w:rsid w:val="006D0E88"/>
    <w:rsid w:val="006D5893"/>
    <w:rsid w:val="006E4EA0"/>
    <w:rsid w:val="006E58F9"/>
    <w:rsid w:val="006F5382"/>
    <w:rsid w:val="006F5FCB"/>
    <w:rsid w:val="006F6769"/>
    <w:rsid w:val="00706265"/>
    <w:rsid w:val="0074041A"/>
    <w:rsid w:val="0075547A"/>
    <w:rsid w:val="00762693"/>
    <w:rsid w:val="0077152F"/>
    <w:rsid w:val="00784810"/>
    <w:rsid w:val="007B5E77"/>
    <w:rsid w:val="007C1685"/>
    <w:rsid w:val="007C447D"/>
    <w:rsid w:val="007D654E"/>
    <w:rsid w:val="007F45A7"/>
    <w:rsid w:val="007F537A"/>
    <w:rsid w:val="007F66C0"/>
    <w:rsid w:val="008026F8"/>
    <w:rsid w:val="0080295E"/>
    <w:rsid w:val="008067BE"/>
    <w:rsid w:val="0081063E"/>
    <w:rsid w:val="008111E5"/>
    <w:rsid w:val="00814E2F"/>
    <w:rsid w:val="00831CEC"/>
    <w:rsid w:val="00835D5E"/>
    <w:rsid w:val="0084373F"/>
    <w:rsid w:val="00846A8B"/>
    <w:rsid w:val="00852C4F"/>
    <w:rsid w:val="008640C6"/>
    <w:rsid w:val="0087063D"/>
    <w:rsid w:val="00876AB3"/>
    <w:rsid w:val="00876AEF"/>
    <w:rsid w:val="008810A5"/>
    <w:rsid w:val="008841C7"/>
    <w:rsid w:val="00884F76"/>
    <w:rsid w:val="008A51EA"/>
    <w:rsid w:val="008B0530"/>
    <w:rsid w:val="008C4D12"/>
    <w:rsid w:val="008C5C87"/>
    <w:rsid w:val="008D07A7"/>
    <w:rsid w:val="008D49D1"/>
    <w:rsid w:val="008D6C06"/>
    <w:rsid w:val="008E65EF"/>
    <w:rsid w:val="00913AE4"/>
    <w:rsid w:val="00914F6B"/>
    <w:rsid w:val="00915CD5"/>
    <w:rsid w:val="00921C8A"/>
    <w:rsid w:val="00932F6D"/>
    <w:rsid w:val="00933FFB"/>
    <w:rsid w:val="009345BF"/>
    <w:rsid w:val="00952D4B"/>
    <w:rsid w:val="00960F21"/>
    <w:rsid w:val="00983469"/>
    <w:rsid w:val="009A6A65"/>
    <w:rsid w:val="009A7F74"/>
    <w:rsid w:val="009C024E"/>
    <w:rsid w:val="009C14FA"/>
    <w:rsid w:val="009C2D67"/>
    <w:rsid w:val="009D34BD"/>
    <w:rsid w:val="009E55C2"/>
    <w:rsid w:val="009E71F6"/>
    <w:rsid w:val="009F13A3"/>
    <w:rsid w:val="00A1070D"/>
    <w:rsid w:val="00A11654"/>
    <w:rsid w:val="00A134E1"/>
    <w:rsid w:val="00A3526F"/>
    <w:rsid w:val="00A40012"/>
    <w:rsid w:val="00A45E90"/>
    <w:rsid w:val="00A46461"/>
    <w:rsid w:val="00A622B0"/>
    <w:rsid w:val="00A725E7"/>
    <w:rsid w:val="00A81E0B"/>
    <w:rsid w:val="00A86BC1"/>
    <w:rsid w:val="00A90177"/>
    <w:rsid w:val="00AB065A"/>
    <w:rsid w:val="00AB509D"/>
    <w:rsid w:val="00AC3F96"/>
    <w:rsid w:val="00AD4C2A"/>
    <w:rsid w:val="00AD78B5"/>
    <w:rsid w:val="00AE70CA"/>
    <w:rsid w:val="00AF3358"/>
    <w:rsid w:val="00AF62DA"/>
    <w:rsid w:val="00B00DA8"/>
    <w:rsid w:val="00B0667F"/>
    <w:rsid w:val="00B17CE6"/>
    <w:rsid w:val="00B229EE"/>
    <w:rsid w:val="00B2646B"/>
    <w:rsid w:val="00B43F11"/>
    <w:rsid w:val="00B66DC8"/>
    <w:rsid w:val="00B80A56"/>
    <w:rsid w:val="00B910B3"/>
    <w:rsid w:val="00BA3A98"/>
    <w:rsid w:val="00BA6EBD"/>
    <w:rsid w:val="00BB05AB"/>
    <w:rsid w:val="00BB3E82"/>
    <w:rsid w:val="00BD0092"/>
    <w:rsid w:val="00BD15AD"/>
    <w:rsid w:val="00BD2DF1"/>
    <w:rsid w:val="00BE7E35"/>
    <w:rsid w:val="00BF0AD4"/>
    <w:rsid w:val="00BF4FE9"/>
    <w:rsid w:val="00C02A9E"/>
    <w:rsid w:val="00C07EAD"/>
    <w:rsid w:val="00C10AA7"/>
    <w:rsid w:val="00C169F1"/>
    <w:rsid w:val="00C200C7"/>
    <w:rsid w:val="00C253D2"/>
    <w:rsid w:val="00C33F11"/>
    <w:rsid w:val="00C34742"/>
    <w:rsid w:val="00C4766D"/>
    <w:rsid w:val="00C57C6B"/>
    <w:rsid w:val="00C92E6C"/>
    <w:rsid w:val="00C94BDA"/>
    <w:rsid w:val="00C97485"/>
    <w:rsid w:val="00CA2C77"/>
    <w:rsid w:val="00CA2E77"/>
    <w:rsid w:val="00CA4270"/>
    <w:rsid w:val="00CA59D7"/>
    <w:rsid w:val="00CB2622"/>
    <w:rsid w:val="00CB72A6"/>
    <w:rsid w:val="00CD477D"/>
    <w:rsid w:val="00CD659A"/>
    <w:rsid w:val="00CE2836"/>
    <w:rsid w:val="00CE7F87"/>
    <w:rsid w:val="00CF1E5F"/>
    <w:rsid w:val="00CF5164"/>
    <w:rsid w:val="00D0722A"/>
    <w:rsid w:val="00D1022E"/>
    <w:rsid w:val="00D16EBE"/>
    <w:rsid w:val="00D25357"/>
    <w:rsid w:val="00D30237"/>
    <w:rsid w:val="00D60C89"/>
    <w:rsid w:val="00D7628B"/>
    <w:rsid w:val="00D938D3"/>
    <w:rsid w:val="00D952DC"/>
    <w:rsid w:val="00D96398"/>
    <w:rsid w:val="00DC2946"/>
    <w:rsid w:val="00DC55B6"/>
    <w:rsid w:val="00DE1323"/>
    <w:rsid w:val="00DE2421"/>
    <w:rsid w:val="00DF645E"/>
    <w:rsid w:val="00E10EA4"/>
    <w:rsid w:val="00E11C6B"/>
    <w:rsid w:val="00E15CA4"/>
    <w:rsid w:val="00E17228"/>
    <w:rsid w:val="00E22345"/>
    <w:rsid w:val="00E35BA7"/>
    <w:rsid w:val="00E46813"/>
    <w:rsid w:val="00E4743A"/>
    <w:rsid w:val="00E53B7D"/>
    <w:rsid w:val="00E56BE1"/>
    <w:rsid w:val="00E713B0"/>
    <w:rsid w:val="00E714A8"/>
    <w:rsid w:val="00E71FCF"/>
    <w:rsid w:val="00E805A5"/>
    <w:rsid w:val="00E83C13"/>
    <w:rsid w:val="00E85E51"/>
    <w:rsid w:val="00E879EE"/>
    <w:rsid w:val="00E90598"/>
    <w:rsid w:val="00E917D6"/>
    <w:rsid w:val="00EA3A8C"/>
    <w:rsid w:val="00EA5051"/>
    <w:rsid w:val="00ED155E"/>
    <w:rsid w:val="00EE76B5"/>
    <w:rsid w:val="00F036AB"/>
    <w:rsid w:val="00F05634"/>
    <w:rsid w:val="00F067C9"/>
    <w:rsid w:val="00F1055F"/>
    <w:rsid w:val="00F20218"/>
    <w:rsid w:val="00F23D4E"/>
    <w:rsid w:val="00F466E0"/>
    <w:rsid w:val="00F52C1B"/>
    <w:rsid w:val="00F805A4"/>
    <w:rsid w:val="00F840BF"/>
    <w:rsid w:val="00F86191"/>
    <w:rsid w:val="00F87147"/>
    <w:rsid w:val="00F90FDA"/>
    <w:rsid w:val="00F9181E"/>
    <w:rsid w:val="00F931EE"/>
    <w:rsid w:val="00F93856"/>
    <w:rsid w:val="00F95930"/>
    <w:rsid w:val="00FA2B9C"/>
    <w:rsid w:val="00FD1DE5"/>
    <w:rsid w:val="00FD7C75"/>
    <w:rsid w:val="00FF18A1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F91794"/>
  <w15:chartTrackingRefBased/>
  <w15:docId w15:val="{A940C627-8C69-4687-9CD9-818C6805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C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6C06"/>
    <w:pPr>
      <w:keepNext/>
      <w:numPr>
        <w:numId w:val="8"/>
      </w:numPr>
      <w:spacing w:before="240" w:after="60"/>
      <w:ind w:left="357" w:hanging="357"/>
      <w:outlineLvl w:val="0"/>
    </w:pPr>
    <w:rPr>
      <w:rFonts w:ascii="Open Sans Light" w:hAnsi="Open Sans Light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C0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07E5F"/>
    <w:pPr>
      <w:keepNext/>
      <w:widowControl w:val="0"/>
      <w:jc w:val="both"/>
      <w:outlineLvl w:val="3"/>
    </w:pPr>
    <w:rPr>
      <w:b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F18A1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FF18A1"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FF18A1"/>
    <w:rPr>
      <w:vertAlign w:val="superscript"/>
    </w:rPr>
  </w:style>
  <w:style w:type="paragraph" w:customStyle="1" w:styleId="a">
    <w:basedOn w:val="Normalny"/>
    <w:rsid w:val="0020458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aliases w:val="Tekst podstawowy Znak,bt,b,Tekst podstawowy Znak Znak Znak Znak Znak Znak Znak Znak,block style,Tekst podstawowy Znak Znak Znak Znak Znak,Tekst podstawowy Znak Znak Znak,Tekst podstawowy Znak Znak Znak Znak Znak Znak,szaro,aga,b1,anita1"/>
    <w:basedOn w:val="Normalny"/>
    <w:rsid w:val="00204580"/>
    <w:pPr>
      <w:spacing w:after="120"/>
    </w:pPr>
  </w:style>
  <w:style w:type="paragraph" w:customStyle="1" w:styleId="BodyText21">
    <w:name w:val="Body Text 21"/>
    <w:basedOn w:val="Normalny"/>
    <w:rsid w:val="00F466E0"/>
    <w:pPr>
      <w:widowControl w:val="0"/>
      <w:suppressAutoHyphens/>
      <w:jc w:val="both"/>
    </w:pPr>
    <w:rPr>
      <w:sz w:val="20"/>
      <w:szCs w:val="20"/>
    </w:rPr>
  </w:style>
  <w:style w:type="paragraph" w:customStyle="1" w:styleId="ZnakZnakZnak">
    <w:name w:val="Znak Znak Znak"/>
    <w:basedOn w:val="Normalny"/>
    <w:rsid w:val="007F537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dymka">
    <w:name w:val="Balloon Text"/>
    <w:basedOn w:val="Normalny"/>
    <w:semiHidden/>
    <w:rsid w:val="008841C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8841C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41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841C7"/>
    <w:rPr>
      <w:b/>
      <w:bCs/>
    </w:rPr>
  </w:style>
  <w:style w:type="paragraph" w:customStyle="1" w:styleId="ZnakZnakZnak1ZnakZnakZnak1">
    <w:name w:val="Znak Znak Znak1 Znak Znak Znak1"/>
    <w:basedOn w:val="Normalny"/>
    <w:rsid w:val="00CA42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1ZnakZnakZnak">
    <w:name w:val="Znak Znak Znak1 Znak Znak Znak"/>
    <w:basedOn w:val="Normalny"/>
    <w:rsid w:val="007B5E7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Nagwek4Znak">
    <w:name w:val="Nagłówek 4 Znak"/>
    <w:link w:val="Nagwek4"/>
    <w:rsid w:val="00207E5F"/>
    <w:rPr>
      <w:b/>
      <w:sz w:val="18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207E5F"/>
  </w:style>
  <w:style w:type="paragraph" w:customStyle="1" w:styleId="Default">
    <w:name w:val="Default"/>
    <w:rsid w:val="00090E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111E5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4359A6"/>
  </w:style>
  <w:style w:type="paragraph" w:styleId="Nagwek">
    <w:name w:val="header"/>
    <w:basedOn w:val="Normalny"/>
    <w:link w:val="NagwekZnak"/>
    <w:uiPriority w:val="99"/>
    <w:unhideWhenUsed/>
    <w:rsid w:val="000B3F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B3F2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B3F2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B3F24"/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D6C06"/>
    <w:pPr>
      <w:spacing w:before="240" w:after="60"/>
      <w:jc w:val="center"/>
      <w:outlineLvl w:val="0"/>
    </w:pPr>
    <w:rPr>
      <w:rFonts w:ascii="Open Sans Light" w:hAnsi="Open Sans Light"/>
      <w:b/>
      <w:bCs/>
      <w:kern w:val="28"/>
      <w:sz w:val="20"/>
      <w:szCs w:val="32"/>
    </w:rPr>
  </w:style>
  <w:style w:type="character" w:customStyle="1" w:styleId="TytuZnak">
    <w:name w:val="Tytuł Znak"/>
    <w:link w:val="Tytu"/>
    <w:uiPriority w:val="10"/>
    <w:rsid w:val="008D6C06"/>
    <w:rPr>
      <w:rFonts w:ascii="Open Sans Light" w:eastAsia="Times New Roman" w:hAnsi="Open Sans Light" w:cs="Times New Roman"/>
      <w:b/>
      <w:bCs/>
      <w:kern w:val="28"/>
      <w:szCs w:val="32"/>
    </w:rPr>
  </w:style>
  <w:style w:type="character" w:customStyle="1" w:styleId="Nagwek1Znak">
    <w:name w:val="Nagłówek 1 Znak"/>
    <w:link w:val="Nagwek1"/>
    <w:uiPriority w:val="9"/>
    <w:rsid w:val="008D6C06"/>
    <w:rPr>
      <w:rFonts w:ascii="Open Sans Light" w:eastAsia="Times New Roman" w:hAnsi="Open Sans Light" w:cs="Times New Roman"/>
      <w:b/>
      <w:bCs/>
      <w:kern w:val="32"/>
      <w:szCs w:val="32"/>
    </w:rPr>
  </w:style>
  <w:style w:type="paragraph" w:customStyle="1" w:styleId="Styl1">
    <w:name w:val="Styl1"/>
    <w:basedOn w:val="Nagwek2"/>
    <w:next w:val="Normalny"/>
    <w:qFormat/>
    <w:rsid w:val="008D6C06"/>
    <w:pPr>
      <w:numPr>
        <w:numId w:val="9"/>
      </w:numPr>
      <w:spacing w:line="276" w:lineRule="auto"/>
    </w:pPr>
    <w:rPr>
      <w:rFonts w:ascii="Open Sans Light" w:hAnsi="Open Sans Light" w:cs="Calibri"/>
      <w:i w:val="0"/>
      <w:sz w:val="20"/>
      <w:szCs w:val="20"/>
    </w:rPr>
  </w:style>
  <w:style w:type="character" w:customStyle="1" w:styleId="Nagwek2Znak">
    <w:name w:val="Nagłówek 2 Znak"/>
    <w:link w:val="Nagwek2"/>
    <w:uiPriority w:val="9"/>
    <w:semiHidden/>
    <w:rsid w:val="008D6C06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42CA-7B52-474A-9D4F-06E4DFC0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1849</Words>
  <Characters>12451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14272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Młynarczyk Karolina</cp:lastModifiedBy>
  <cp:revision>3</cp:revision>
  <cp:lastPrinted>2009-02-16T12:10:00Z</cp:lastPrinted>
  <dcterms:created xsi:type="dcterms:W3CDTF">2025-01-09T15:43:00Z</dcterms:created>
  <dcterms:modified xsi:type="dcterms:W3CDTF">2025-01-09T15:45:00Z</dcterms:modified>
</cp:coreProperties>
</file>